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0317-2021-EnMS-2022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苏州贝斯特装饰新材料有限公司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R197EnMS210017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91320585757962797X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328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苏州贝斯特装饰新材料有限公司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功能性树脂装饰材料的研发及生产所涉及的相关能源管理活动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太仓市双凤镇新湖温州路22号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太仓市双凤</w:t>
            </w:r>
            <w:bookmarkStart w:id="23" w:name="_GoBack"/>
            <w:bookmarkEnd w:id="23"/>
            <w:r>
              <w:rPr>
                <w:rFonts w:hint="eastAsia"/>
                <w:sz w:val="22"/>
                <w:szCs w:val="22"/>
                <w:lang w:val="en-GB"/>
              </w:rPr>
              <w:t>镇新湖温州路22号</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59264" behindDoc="0" locked="0" layoutInCell="1" allowOverlap="1">
                  <wp:simplePos x="0" y="0"/>
                  <wp:positionH relativeFrom="column">
                    <wp:posOffset>90170</wp:posOffset>
                  </wp:positionH>
                  <wp:positionV relativeFrom="paragraph">
                    <wp:posOffset>177165</wp:posOffset>
                  </wp:positionV>
                  <wp:extent cx="792480" cy="372110"/>
                  <wp:effectExtent l="0" t="0" r="7620" b="889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792480" cy="37211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苏州贝斯特装饰新材料有限公司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r>
        <w:rPr>
          <w:b/>
          <w:color w:val="000000" w:themeColor="text1"/>
          <w:sz w:val="22"/>
          <w:szCs w:val="22"/>
        </w:rPr>
        <w:t>R197EnMS210017</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太仓市双凤镇新湖温州路22号</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460" w:firstLineChars="661"/>
        <w:rPr>
          <w:rFonts w:hint="eastAsia" w:ascii="宋体" w:hAnsi="宋体" w:eastAsia="宋体" w:cs="Times New Roman"/>
          <w:b/>
          <w:sz w:val="21"/>
          <w:szCs w:val="21"/>
          <w:lang w:val="de-DE"/>
        </w:rPr>
      </w:pPr>
      <w:r>
        <w:rPr>
          <w:rFonts w:hint="eastAsia"/>
          <w:b/>
          <w:color w:val="000000" w:themeColor="text1"/>
          <w:sz w:val="22"/>
          <w:szCs w:val="22"/>
        </w:rPr>
        <w:t>&amp;</w:t>
      </w:r>
      <w:r>
        <w:rPr>
          <w:rFonts w:hint="eastAsia" w:ascii="宋体" w:hAnsi="宋体" w:eastAsia="宋体" w:cs="Times New Roman"/>
          <w:b/>
          <w:sz w:val="21"/>
          <w:szCs w:val="21"/>
          <w:lang w:val="de-DE"/>
        </w:rPr>
        <w:t>RB/T114-2014《能源管理体系 纯碱、焦化、橡塑制品、制药等化工企业认证要求》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top"/>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审核类型及时间</w:t>
            </w:r>
          </w:p>
        </w:tc>
        <w:tc>
          <w:tcPr>
            <w:tcW w:w="4735" w:type="dxa"/>
            <w:noWrap w:val="0"/>
            <w:vAlign w:val="top"/>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w:t>
            </w:r>
            <w:r>
              <w:rPr>
                <w:rFonts w:hint="eastAsia" w:ascii="宋体" w:hAnsi="宋体"/>
                <w:b/>
                <w:color w:val="000000"/>
                <w:sz w:val="24"/>
                <w:szCs w:val="24"/>
                <w:lang w:val="en-US" w:eastAsia="zh-CN"/>
              </w:rPr>
              <w:t>源</w:t>
            </w:r>
            <w:r>
              <w:rPr>
                <w:rFonts w:hint="eastAsia" w:ascii="宋体" w:hAnsi="宋体"/>
                <w:b/>
                <w:color w:val="000000"/>
                <w:sz w:val="24"/>
                <w:szCs w:val="24"/>
              </w:rPr>
              <w:t>数据</w:t>
            </w:r>
          </w:p>
        </w:tc>
        <w:tc>
          <w:tcPr>
            <w:tcW w:w="2835" w:type="dxa"/>
            <w:noWrap w:val="0"/>
            <w:vAlign w:val="top"/>
          </w:tcPr>
          <w:p>
            <w:pPr>
              <w:pStyle w:val="3"/>
              <w:spacing w:line="400" w:lineRule="exact"/>
              <w:ind w:firstLine="0"/>
              <w:jc w:val="center"/>
              <w:rPr>
                <w:rFonts w:ascii="宋体" w:hAnsi="宋体"/>
                <w:b/>
                <w:color w:val="000000"/>
                <w:sz w:val="24"/>
                <w:szCs w:val="24"/>
              </w:rPr>
            </w:pPr>
            <w:r>
              <w:rPr>
                <w:rFonts w:hint="eastAsia" w:ascii="宋体" w:hAnsi="宋体"/>
                <w:b/>
                <w:color w:val="000000"/>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36" w:type="dxa"/>
            <w:vMerge w:val="restart"/>
            <w:noWrap w:val="0"/>
            <w:vAlign w:val="top"/>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5</w:t>
            </w:r>
            <w:r>
              <w:rPr>
                <w:rFonts w:hint="eastAsia"/>
                <w:sz w:val="20"/>
                <w:szCs w:val="22"/>
              </w:rPr>
              <w:t>月</w:t>
            </w:r>
          </w:p>
          <w:p>
            <w:pPr>
              <w:pStyle w:val="3"/>
              <w:spacing w:line="400" w:lineRule="exact"/>
              <w:ind w:firstLine="0"/>
              <w:rPr>
                <w:rFonts w:hint="default" w:ascii="宋体" w:hAnsi="宋体" w:eastAsia="宋体"/>
                <w:b/>
                <w:color w:val="000000"/>
                <w:sz w:val="24"/>
                <w:szCs w:val="24"/>
                <w:lang w:val="en-US" w:eastAsia="zh-CN"/>
              </w:rPr>
            </w:pPr>
            <w:r>
              <w:rPr>
                <w:rFonts w:hint="eastAsia"/>
                <w:sz w:val="20"/>
                <w:szCs w:val="22"/>
                <w:lang w:val="en-US" w:eastAsia="zh-CN"/>
              </w:rPr>
              <w:t>9</w:t>
            </w:r>
            <w:r>
              <w:rPr>
                <w:rFonts w:hint="eastAsia" w:ascii="仿宋" w:hAnsi="仿宋" w:eastAsia="仿宋" w:cs="仿宋"/>
                <w:sz w:val="20"/>
                <w:szCs w:val="22"/>
              </w:rPr>
              <w:t>～</w:t>
            </w:r>
            <w:r>
              <w:rPr>
                <w:rFonts w:hint="eastAsia"/>
                <w:sz w:val="20"/>
                <w:szCs w:val="22"/>
                <w:lang w:val="en-US" w:eastAsia="zh-CN"/>
              </w:rPr>
              <w:t>10日</w:t>
            </w:r>
          </w:p>
        </w:tc>
        <w:tc>
          <w:tcPr>
            <w:tcW w:w="4735" w:type="dxa"/>
            <w:noWrap w:val="0"/>
            <w:vAlign w:val="top"/>
          </w:tcPr>
          <w:p>
            <w:pPr>
              <w:keepNext w:val="0"/>
              <w:keepLines w:val="0"/>
              <w:pageBreakBefore w:val="0"/>
              <w:widowControl w:val="0"/>
              <w:kinsoku/>
              <w:wordWrap/>
              <w:overflowPunct/>
              <w:topLinePunct w:val="0"/>
              <w:autoSpaceDE/>
              <w:autoSpaceDN/>
              <w:bidi w:val="0"/>
              <w:adjustRightInd/>
              <w:spacing w:line="240" w:lineRule="auto"/>
              <w:textAlignment w:val="auto"/>
              <w:rPr>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b/>
                <w:color w:val="000000"/>
                <w:szCs w:val="24"/>
              </w:rPr>
            </w:pPr>
            <w:r>
              <w:rPr>
                <w:rFonts w:hint="eastAsia"/>
                <w:sz w:val="20"/>
                <w:szCs w:val="22"/>
                <w:u w:val="single"/>
              </w:rPr>
              <w:t>2020</w:t>
            </w:r>
            <w:r>
              <w:rPr>
                <w:rFonts w:hint="eastAsia"/>
                <w:sz w:val="20"/>
                <w:szCs w:val="22"/>
              </w:rPr>
              <w:t>年01月01日至</w:t>
            </w:r>
            <w:r>
              <w:rPr>
                <w:rFonts w:hint="eastAsia"/>
                <w:sz w:val="20"/>
                <w:szCs w:val="22"/>
                <w:u w:val="single"/>
              </w:rPr>
              <w:t>2020</w:t>
            </w:r>
            <w:r>
              <w:rPr>
                <w:rFonts w:hint="eastAsia"/>
                <w:sz w:val="20"/>
                <w:szCs w:val="22"/>
              </w:rPr>
              <w:t>年12月31日</w:t>
            </w:r>
          </w:p>
        </w:tc>
        <w:tc>
          <w:tcPr>
            <w:tcW w:w="2835" w:type="dxa"/>
            <w:vMerge w:val="restart"/>
            <w:noWrap w:val="0"/>
            <w:vAlign w:val="top"/>
          </w:tcPr>
          <w:p>
            <w:pPr>
              <w:rPr>
                <w:rFonts w:hint="default"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边界：位于太仓市双凤镇新湖温州路22号的苏州贝斯特装饰新材料有限公司</w:t>
            </w:r>
            <w:r>
              <w:rPr>
                <w:rFonts w:hint="eastAsia" w:ascii="Times New Roman" w:hAnsi="Times New Roman" w:cs="Times New Roman"/>
                <w:kern w:val="2"/>
                <w:sz w:val="20"/>
                <w:szCs w:val="22"/>
                <w:u w:val="none"/>
                <w:lang w:val="en-US" w:eastAsia="zh-CN" w:bidi="ar-SA"/>
              </w:rPr>
              <w:t>；</w:t>
            </w:r>
          </w:p>
          <w:p>
            <w:pPr>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主要生产系统：生产部（包含：工务部、涂布车间、压延车间）。</w:t>
            </w:r>
          </w:p>
          <w:p>
            <w:pPr>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辅助生产系统：管理部、采购部、技术部、财务部</w:t>
            </w:r>
            <w:r>
              <w:rPr>
                <w:rFonts w:hint="eastAsia" w:ascii="Times New Roman" w:hAnsi="Times New Roman" w:cs="Times New Roman"/>
                <w:kern w:val="2"/>
                <w:sz w:val="20"/>
                <w:szCs w:val="22"/>
                <w:u w:val="none"/>
                <w:lang w:val="en-US" w:eastAsia="zh-CN" w:bidi="ar-SA"/>
              </w:rPr>
              <w:t>；</w:t>
            </w:r>
          </w:p>
          <w:p>
            <w:pPr>
              <w:pStyle w:val="3"/>
              <w:spacing w:line="320" w:lineRule="exact"/>
              <w:ind w:firstLine="0"/>
              <w:rPr>
                <w:rFonts w:hint="default" w:ascii="宋体" w:hAnsi="宋体" w:eastAsia="宋体"/>
                <w:b/>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产量或产值：</w:t>
            </w:r>
            <w:r>
              <w:rPr>
                <w:rFonts w:hint="eastAsia" w:ascii="Times New Roman" w:hAnsi="Times New Roman" w:cs="Times New Roman"/>
                <w:kern w:val="2"/>
                <w:sz w:val="20"/>
                <w:szCs w:val="22"/>
                <w:u w:val="none"/>
                <w:lang w:val="en-US" w:eastAsia="zh-CN" w:bidi="ar-SA"/>
              </w:rPr>
              <w:t>产量19868.46</w:t>
            </w:r>
            <w:r>
              <w:rPr>
                <w:rFonts w:hint="eastAsia" w:ascii="Times New Roman" w:hAnsi="Times New Roman" w:eastAsia="宋体" w:cs="Times New Roman"/>
                <w:kern w:val="2"/>
                <w:sz w:val="20"/>
                <w:szCs w:val="22"/>
                <w:u w:val="none"/>
                <w:lang w:val="en-US" w:eastAsia="zh-CN" w:bidi="ar-SA"/>
              </w:rPr>
              <w:t>t</w:t>
            </w:r>
            <w:r>
              <w:rPr>
                <w:rFonts w:hint="eastAsia" w:ascii="Times New Roman" w:hAnsi="Times New Roman" w:cs="Times New Roman"/>
                <w:kern w:val="2"/>
                <w:sz w:val="20"/>
                <w:szCs w:val="22"/>
                <w:u w:val="none"/>
                <w:lang w:val="en-US" w:eastAsia="zh-CN" w:bidi="ar-SA"/>
              </w:rPr>
              <w:t xml:space="preserve">、产值40500万元。 </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zh-CN" w:eastAsia="zh-CN" w:bidi="ar-SA"/>
              </w:rPr>
              <w:t>综合能耗：</w:t>
            </w:r>
            <w:r>
              <w:rPr>
                <w:rFonts w:hint="eastAsia" w:ascii="Times New Roman" w:hAnsi="Times New Roman" w:cs="Times New Roman"/>
                <w:kern w:val="2"/>
                <w:sz w:val="20"/>
                <w:szCs w:val="22"/>
                <w:u w:val="none"/>
                <w:lang w:val="en-US" w:eastAsia="zh-CN" w:bidi="ar-SA"/>
              </w:rPr>
              <w:t>4678890.21kg</w:t>
            </w:r>
            <w:r>
              <w:rPr>
                <w:rFonts w:hint="eastAsia" w:ascii="Times New Roman" w:hAnsi="Times New Roman" w:eastAsia="宋体" w:cs="Times New Roman"/>
                <w:kern w:val="2"/>
                <w:sz w:val="20"/>
                <w:szCs w:val="22"/>
                <w:u w:val="none"/>
                <w:lang w:val="en-US" w:eastAsia="zh-CN" w:bidi="ar-SA"/>
              </w:rPr>
              <w:t>ce</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center"/>
          </w:tcPr>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单位产品综合能耗：235.49kgce/t</w:t>
            </w:r>
          </w:p>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lang w:val="en-US" w:eastAsia="zh-CN"/>
              </w:rPr>
            </w:pPr>
            <w:r>
              <w:rPr>
                <w:rFonts w:hint="eastAsia" w:ascii="Times New Roman" w:hAnsi="Times New Roman" w:eastAsia="宋体" w:cs="Times New Roman"/>
                <w:kern w:val="2"/>
                <w:sz w:val="20"/>
                <w:szCs w:val="22"/>
                <w:u w:val="none"/>
                <w:lang w:val="en-US" w:eastAsia="zh-CN" w:bidi="ar-SA"/>
              </w:rPr>
              <w:t>万元产值综合能耗：115.53kgce/万元。</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default" w:eastAsia="宋体"/>
                <w:sz w:val="20"/>
                <w:szCs w:val="22"/>
                <w:lang w:val="en-US" w:eastAsia="zh-CN"/>
              </w:rPr>
            </w:pPr>
            <w:r>
              <w:rPr>
                <w:rFonts w:hint="eastAsia"/>
                <w:b/>
                <w:bCs/>
                <w:sz w:val="20"/>
                <w:szCs w:val="22"/>
              </w:rPr>
              <w:t>节能量（万吨标准煤）：</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noWrap w:val="0"/>
            <w:vAlign w:val="top"/>
          </w:tcPr>
          <w:p>
            <w:pPr>
              <w:pStyle w:val="3"/>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03</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lang w:val="en-US" w:eastAsia="zh-CN"/>
              </w:rPr>
              <w:t>29~31</w:t>
            </w:r>
            <w:r>
              <w:rPr>
                <w:rFonts w:hint="eastAsia"/>
                <w:sz w:val="20"/>
                <w:szCs w:val="22"/>
              </w:rPr>
              <w:t>日</w:t>
            </w:r>
          </w:p>
        </w:tc>
        <w:tc>
          <w:tcPr>
            <w:tcW w:w="4735" w:type="dxa"/>
            <w:noWrap w:val="0"/>
            <w:vAlign w:val="top"/>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kern w:val="2"/>
                <w:sz w:val="32"/>
                <w:szCs w:val="24"/>
                <w:lang w:val="en-US" w:eastAsia="zh-CN" w:bidi="ar-SA"/>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noWrap w:val="0"/>
            <w:vAlign w:val="top"/>
          </w:tcPr>
          <w:p>
            <w:pPr>
              <w:rPr>
                <w:rFonts w:hint="default"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边界：位于太仓市双凤镇新湖温州路22号的苏州贝斯特装饰新材料有限公司</w:t>
            </w:r>
            <w:r>
              <w:rPr>
                <w:rFonts w:hint="eastAsia" w:ascii="Times New Roman" w:hAnsi="Times New Roman" w:cs="Times New Roman"/>
                <w:kern w:val="2"/>
                <w:sz w:val="20"/>
                <w:szCs w:val="22"/>
                <w:u w:val="none"/>
                <w:lang w:val="en-US" w:eastAsia="zh-CN" w:bidi="ar-SA"/>
              </w:rPr>
              <w:t>；</w:t>
            </w:r>
          </w:p>
          <w:p>
            <w:pPr>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主要生产系统：生产部（包含：工务部、涂布车间、压延车间）。</w:t>
            </w:r>
          </w:p>
          <w:p>
            <w:pPr>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辅助生产系统：管理部、采购部、技术部、财务部</w:t>
            </w:r>
            <w:r>
              <w:rPr>
                <w:rFonts w:hint="eastAsia" w:ascii="Times New Roman" w:hAnsi="Times New Roman" w:cs="Times New Roman"/>
                <w:kern w:val="2"/>
                <w:sz w:val="20"/>
                <w:szCs w:val="22"/>
                <w:u w:val="none"/>
                <w:lang w:val="en-US" w:eastAsia="zh-CN" w:bidi="ar-SA"/>
              </w:rPr>
              <w:t>；</w:t>
            </w:r>
          </w:p>
          <w:p>
            <w:pPr>
              <w:pStyle w:val="3"/>
              <w:spacing w:line="320" w:lineRule="exact"/>
              <w:ind w:firstLine="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default"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产量：25686.651t</w:t>
            </w:r>
          </w:p>
          <w:p>
            <w:pPr>
              <w:pStyle w:val="3"/>
              <w:spacing w:line="320" w:lineRule="exact"/>
              <w:ind w:firstLine="0"/>
              <w:rPr>
                <w:rFonts w:hint="eastAsia" w:ascii="宋体" w:hAnsi="宋体" w:eastAsia="宋体" w:cs="Times New Roman"/>
                <w:b/>
                <w:color w:val="000000"/>
                <w:kern w:val="2"/>
                <w:sz w:val="32"/>
                <w:szCs w:val="24"/>
                <w:lang w:val="en-US" w:eastAsia="zh-CN" w:bidi="ar-SA"/>
              </w:rPr>
            </w:pPr>
            <w:r>
              <w:rPr>
                <w:rFonts w:hint="eastAsia"/>
                <w:b/>
                <w:bCs/>
                <w:sz w:val="20"/>
                <w:lang w:val="en-US" w:eastAsia="zh-CN"/>
              </w:rPr>
              <w:t>产值：</w:t>
            </w:r>
            <w:r>
              <w:rPr>
                <w:rFonts w:hint="eastAsia" w:ascii="Times New Roman" w:hAnsi="Times New Roman" w:cs="Times New Roman"/>
                <w:kern w:val="2"/>
                <w:sz w:val="20"/>
                <w:szCs w:val="22"/>
                <w:u w:val="none"/>
                <w:lang w:val="en-US" w:eastAsia="zh-CN" w:bidi="ar-SA"/>
              </w:rPr>
              <w:t>46494万元</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eastAsia" w:ascii="宋体" w:hAnsi="宋体" w:eastAsia="宋体" w:cs="Times New Roman"/>
                <w:b/>
                <w:color w:val="000000"/>
                <w:kern w:val="2"/>
                <w:sz w:val="32"/>
                <w:szCs w:val="24"/>
                <w:lang w:val="en-US" w:eastAsia="zh-CN" w:bidi="ar-SA"/>
              </w:rPr>
            </w:pPr>
            <w:r>
              <w:rPr>
                <w:rFonts w:hint="eastAsia" w:ascii="Times New Roman" w:hAnsi="Times New Roman" w:eastAsia="宋体" w:cs="Times New Roman"/>
                <w:kern w:val="2"/>
                <w:sz w:val="20"/>
                <w:szCs w:val="22"/>
                <w:u w:val="none"/>
                <w:lang w:val="zh-CN" w:eastAsia="zh-CN" w:bidi="ar-SA"/>
              </w:rPr>
              <w:t>综合能耗：</w:t>
            </w:r>
            <w:r>
              <w:rPr>
                <w:rFonts w:hint="eastAsia" w:ascii="Times New Roman" w:hAnsi="Times New Roman" w:eastAsia="宋体" w:cs="Times New Roman"/>
                <w:kern w:val="2"/>
                <w:sz w:val="20"/>
                <w:szCs w:val="22"/>
                <w:u w:val="none"/>
                <w:lang w:val="en-US" w:eastAsia="zh-CN" w:bidi="ar-SA"/>
              </w:rPr>
              <w:t>6156802.915kgce</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ascii="宋体" w:hAnsi="宋体" w:eastAsia="宋体" w:cs="Times New Roman"/>
                <w:b/>
                <w:color w:val="000000"/>
                <w:kern w:val="2"/>
                <w:sz w:val="24"/>
                <w:szCs w:val="24"/>
                <w:lang w:val="en-US" w:eastAsia="zh-CN" w:bidi="ar-SA"/>
              </w:rPr>
            </w:pPr>
            <w:r>
              <w:rPr>
                <w:rFonts w:hint="eastAsia" w:ascii="Times New Roman" w:hAnsi="Times New Roman" w:eastAsia="宋体" w:cs="Times New Roman"/>
                <w:kern w:val="2"/>
                <w:sz w:val="20"/>
                <w:szCs w:val="22"/>
                <w:u w:val="none"/>
                <w:lang w:val="en-US" w:eastAsia="zh-CN" w:bidi="ar-SA"/>
              </w:rPr>
              <w:t>单位能耗：239.69kgce/t</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eastAsia"/>
                <w:sz w:val="20"/>
                <w:szCs w:val="22"/>
                <w:lang w:val="en-US" w:eastAsia="zh-CN"/>
              </w:rPr>
            </w:pPr>
            <w:r>
              <w:rPr>
                <w:rFonts w:hint="eastAsia"/>
                <w:b/>
                <w:bCs/>
                <w:sz w:val="20"/>
                <w:szCs w:val="22"/>
                <w:lang w:val="en-US" w:eastAsia="zh-CN"/>
              </w:rPr>
              <w:t>节能量（万吨标准煤）：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noWrap w:val="0"/>
            <w:vAlign w:val="top"/>
          </w:tcPr>
          <w:p>
            <w:pPr>
              <w:pStyle w:val="3"/>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spacing w:line="400" w:lineRule="exact"/>
              <w:ind w:firstLine="0"/>
              <w:rPr>
                <w:rFonts w:ascii="宋体" w:hAnsi="宋体"/>
                <w:b/>
                <w:color w:val="000000"/>
                <w:sz w:val="24"/>
                <w:szCs w:val="24"/>
              </w:rPr>
            </w:pPr>
            <w:r>
              <w:rPr>
                <w:rFonts w:hint="eastAsia"/>
                <w:sz w:val="20"/>
                <w:szCs w:val="22"/>
                <w:u w:val="single"/>
                <w:lang w:val="en-US" w:eastAsia="zh-CN"/>
              </w:rPr>
              <w:t>XX~XX</w:t>
            </w:r>
            <w:r>
              <w:rPr>
                <w:rFonts w:hint="eastAsia"/>
                <w:sz w:val="20"/>
                <w:szCs w:val="22"/>
              </w:rPr>
              <w:t>日</w:t>
            </w:r>
          </w:p>
        </w:tc>
        <w:tc>
          <w:tcPr>
            <w:tcW w:w="4735" w:type="dxa"/>
            <w:noWrap w:val="0"/>
            <w:vAlign w:val="top"/>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eastAsia="宋体" w:cs="Times New Roman"/>
                <w:b/>
                <w:color w:val="000000"/>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noWrap w:val="0"/>
            <w:vAlign w:val="top"/>
          </w:tcPr>
          <w:p>
            <w:pPr>
              <w:pStyle w:val="3"/>
              <w:spacing w:line="320" w:lineRule="exact"/>
              <w:ind w:firstLine="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pStyle w:val="3"/>
              <w:spacing w:line="320" w:lineRule="exact"/>
              <w:ind w:firstLine="0"/>
              <w:rPr>
                <w:rFonts w:hint="default" w:eastAsia="宋体"/>
                <w:b/>
                <w:bCs/>
                <w:sz w:val="20"/>
                <w:lang w:val="en-US" w:eastAsia="zh-CN"/>
              </w:rPr>
            </w:pPr>
            <w:r>
              <w:rPr>
                <w:rFonts w:hint="eastAsia"/>
                <w:b/>
                <w:bCs/>
                <w:sz w:val="20"/>
                <w:lang w:val="en-US" w:eastAsia="zh-CN"/>
              </w:rPr>
              <w:t>产量或产值：</w:t>
            </w:r>
          </w:p>
          <w:p>
            <w:pPr>
              <w:pStyle w:val="3"/>
              <w:spacing w:line="320" w:lineRule="exact"/>
              <w:ind w:firstLine="0" w:firstLineChars="0"/>
              <w:rPr>
                <w:rFonts w:hint="eastAsia" w:ascii="宋体" w:hAnsi="宋体" w:eastAsia="宋体" w:cs="Times New Roman"/>
                <w:b/>
                <w:color w:val="000000"/>
                <w:kern w:val="2"/>
                <w:sz w:val="32"/>
                <w:szCs w:val="24"/>
                <w:lang w:val="en-US" w:eastAsia="zh-CN" w:bidi="ar-SA"/>
              </w:rPr>
            </w:pPr>
            <w:r>
              <w:rPr>
                <w:rFonts w:hint="eastAsia"/>
                <w:sz w:val="20"/>
                <w:lang w:val="en-US" w:eastAsia="zh-CN"/>
              </w:rPr>
              <w:t xml:space="preserve"> </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pStyle w:val="3"/>
              <w:spacing w:line="320" w:lineRule="exact"/>
              <w:ind w:firstLine="0"/>
              <w:rPr>
                <w:rFonts w:hint="eastAsia"/>
                <w:b/>
                <w:bCs/>
                <w:sz w:val="20"/>
                <w:szCs w:val="22"/>
                <w:lang w:val="zh-CN"/>
              </w:rPr>
            </w:pPr>
            <w:r>
              <w:rPr>
                <w:rFonts w:hint="eastAsia"/>
                <w:b/>
                <w:bCs/>
                <w:sz w:val="20"/>
                <w:szCs w:val="22"/>
                <w:lang w:val="zh-CN"/>
              </w:rPr>
              <w:t>综合能耗：</w:t>
            </w:r>
          </w:p>
          <w:p>
            <w:pPr>
              <w:pStyle w:val="3"/>
              <w:spacing w:line="320" w:lineRule="exact"/>
              <w:ind w:firstLine="0" w:firstLineChars="0"/>
              <w:rPr>
                <w:rFonts w:hint="eastAsia" w:ascii="宋体" w:hAnsi="宋体" w:eastAsia="宋体" w:cs="Times New Roman"/>
                <w:b/>
                <w:color w:val="000000"/>
                <w:kern w:val="2"/>
                <w:sz w:val="32"/>
                <w:szCs w:val="24"/>
                <w:lang w:val="en-US" w:eastAsia="zh-CN" w:bidi="ar-SA"/>
              </w:rPr>
            </w:pPr>
            <w:r>
              <w:rPr>
                <w:rFonts w:hint="eastAsia"/>
                <w:sz w:val="20"/>
                <w:szCs w:val="22"/>
                <w:lang w:val="en-US" w:eastAsia="zh-CN"/>
              </w:rPr>
              <w:t xml:space="preserve"> </w:t>
            </w: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kern w:val="2"/>
                <w:sz w:val="24"/>
                <w:szCs w:val="24"/>
                <w:lang w:val="en-US" w:eastAsia="zh-CN" w:bidi="ar-SA"/>
              </w:rPr>
            </w:pPr>
          </w:p>
        </w:tc>
        <w:tc>
          <w:tcPr>
            <w:tcW w:w="2835" w:type="dxa"/>
            <w:vMerge w:val="continue"/>
            <w:noWrap w:val="0"/>
            <w:vAlign w:val="top"/>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noWrap w:val="0"/>
            <w:vAlign w:val="top"/>
          </w:tcPr>
          <w:p>
            <w:pPr>
              <w:pStyle w:val="3"/>
              <w:spacing w:line="400" w:lineRule="exact"/>
              <w:ind w:firstLine="0"/>
              <w:rPr>
                <w:rFonts w:hint="eastAsia"/>
                <w:sz w:val="20"/>
                <w:szCs w:val="22"/>
              </w:rPr>
            </w:pPr>
          </w:p>
        </w:tc>
        <w:tc>
          <w:tcPr>
            <w:tcW w:w="4735" w:type="dxa"/>
            <w:noWrap w:val="0"/>
            <w:vAlign w:val="top"/>
          </w:tcPr>
          <w:p>
            <w:pPr>
              <w:rPr>
                <w:rFonts w:hint="eastAsia"/>
                <w:sz w:val="20"/>
                <w:szCs w:val="22"/>
                <w:lang w:val="en-US" w:eastAsia="zh-CN"/>
              </w:rPr>
            </w:pPr>
            <w:r>
              <w:rPr>
                <w:rFonts w:hint="eastAsia"/>
                <w:b/>
                <w:bCs/>
                <w:sz w:val="20"/>
                <w:szCs w:val="22"/>
                <w:lang w:val="en-US" w:eastAsia="zh-CN"/>
              </w:rPr>
              <w:t>节能量（万吨标准煤）：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noWrap w:val="0"/>
            <w:vAlign w:val="top"/>
          </w:tcPr>
          <w:p>
            <w:pPr>
              <w:pStyle w:val="3"/>
              <w:spacing w:line="320" w:lineRule="exact"/>
              <w:ind w:firstLine="0"/>
              <w:rPr>
                <w:rFonts w:hint="eastAsia"/>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2B3240"/>
    <w:rsid w:val="71DF2A2E"/>
    <w:rsid w:val="731211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2022-04-05T14:45:26Z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