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江苏耶格尔环保工程有限公司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宜兴经济开发区袁桥路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宜兴经济开发区袁桥路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蒋希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13771302067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0085-2020-O-2022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O：环保设备的销售所涉及的职业健康安全管理活动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Q：环保设备的销售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O：29.10.07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Q：29.10.07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远程审核于2022年03月28日 上午至2022年03月29日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-30480</wp:posOffset>
                  </wp:positionV>
                  <wp:extent cx="539750" cy="288925"/>
                  <wp:effectExtent l="0" t="0" r="6350" b="3175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90295" cy="477520"/>
                  <wp:effectExtent l="0" t="0" r="0" b="0"/>
                  <wp:docPr id="3" name="图片 3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63"/>
        <w:gridCol w:w="761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bookmarkStart w:id="29" w:name="_GoBack"/>
            <w:bookmarkEnd w:id="29"/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08：30-09：00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09：00-12：00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综合部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5.3组织的角色、职责和权限；6.1.3法律法规要求和其他要求；6.1.2危险源辨识和职业安全风险评价； 6.2目标及其实现的策划；8.1运行策划和控制；8.2应急准备和响应； 9.1.2法律法规要求和其他要求的合规性评价；9.2内部审核；10.2纠正措施；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13：00-17：30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9.1.1监视、测量、分析和评价总则；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资质验证/范围再确认/上次审核阶段阶段问题验证/投诉或事故/政府主管部门监督抽查情况。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2022.3.29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08：30-17：00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销售部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/权限；6.2质量目标及其实现的策划；7.1.3基础设施；7.1.5监视和测量资源；8.1运行策划和控制；、8.2产品和服务的要求；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8.4外部提供供方的控制；8.5.1生产和服务提供的控制；8.5.2标识和可追溯性；8.5.3顾客或外部供方的财产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；8.5.4产品防护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8.5.5交付后的活动；8.5.6更改控制；8.6产品和服务放行；8.7不合格输出的控制；9.1.2顾客满意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2022.3.29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17:00-17:30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8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12：00-13：00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40"/>
              <w:jc w:val="left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  <w:t>午餐休息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5174C0"/>
    <w:rsid w:val="699773BA"/>
    <w:rsid w:val="78366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2119</Words>
  <Characters>2964</Characters>
  <Lines>37</Lines>
  <Paragraphs>10</Paragraphs>
  <TotalTime>0</TotalTime>
  <ScaleCrop>false</ScaleCrop>
  <LinksUpToDate>false</LinksUpToDate>
  <CharactersWithSpaces>3037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2022-03-29T08:11:18Z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