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远程审核）</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default" w:eastAsia="宋体"/>
                <w:sz w:val="24"/>
                <w:szCs w:val="24"/>
                <w:lang w:val="en-US" w:eastAsia="zh-CN"/>
              </w:rPr>
            </w:pPr>
            <w:r>
              <w:rPr>
                <w:rFonts w:hint="eastAsia"/>
                <w:sz w:val="24"/>
                <w:szCs w:val="24"/>
              </w:rPr>
              <w:t>受审核部门：领导层</w:t>
            </w:r>
            <w:r>
              <w:rPr>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周晋</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伍光华</w:t>
            </w:r>
            <w:r>
              <w:rPr>
                <w:rFonts w:hint="eastAsia"/>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审核日期：202</w:t>
            </w:r>
            <w:r>
              <w:rPr>
                <w:rFonts w:hint="eastAsia"/>
                <w:sz w:val="24"/>
                <w:szCs w:val="24"/>
                <w:lang w:val="en-US" w:eastAsia="zh-CN"/>
              </w:rPr>
              <w:t>2.4.9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tabs>
                <w:tab w:val="left" w:pos="709"/>
              </w:tabs>
              <w:ind w:right="57"/>
              <w:jc w:val="left"/>
              <w:rPr>
                <w:sz w:val="24"/>
                <w:szCs w:val="24"/>
              </w:rPr>
            </w:pPr>
            <w:r>
              <w:rPr>
                <w:rFonts w:hint="eastAsia"/>
                <w:sz w:val="24"/>
                <w:szCs w:val="24"/>
              </w:rPr>
              <w:t>审核条款：</w:t>
            </w:r>
            <w:r>
              <w:rPr>
                <w:rFonts w:hint="eastAsia"/>
                <w:szCs w:val="21"/>
              </w:rPr>
              <w:t>QMS：4.1</w:t>
            </w:r>
            <w:r>
              <w:rPr>
                <w:rFonts w:hint="eastAsia"/>
                <w:szCs w:val="21"/>
                <w:lang w:val="en-US" w:eastAsia="zh-CN"/>
              </w:rPr>
              <w:t xml:space="preserve"> / </w:t>
            </w:r>
            <w:r>
              <w:rPr>
                <w:rFonts w:hint="eastAsia"/>
                <w:szCs w:val="21"/>
              </w:rPr>
              <w:t>4.2</w:t>
            </w:r>
            <w:r>
              <w:rPr>
                <w:rFonts w:hint="eastAsia"/>
                <w:szCs w:val="21"/>
                <w:lang w:val="en-US" w:eastAsia="zh-CN"/>
              </w:rPr>
              <w:t xml:space="preserve"> /</w:t>
            </w:r>
            <w:r>
              <w:rPr>
                <w:rFonts w:hint="eastAsia"/>
                <w:szCs w:val="21"/>
              </w:rPr>
              <w:t xml:space="preserve"> 4.3</w:t>
            </w:r>
            <w:r>
              <w:rPr>
                <w:rFonts w:hint="eastAsia"/>
                <w:szCs w:val="21"/>
                <w:lang w:val="en-US" w:eastAsia="zh-CN"/>
              </w:rPr>
              <w:t xml:space="preserve"> /</w:t>
            </w:r>
            <w:r>
              <w:rPr>
                <w:rFonts w:hint="eastAsia"/>
                <w:szCs w:val="21"/>
              </w:rPr>
              <w:t xml:space="preserve"> 4.4</w:t>
            </w:r>
            <w:r>
              <w:rPr>
                <w:rFonts w:hint="eastAsia"/>
                <w:szCs w:val="21"/>
                <w:lang w:val="en-US" w:eastAsia="zh-CN"/>
              </w:rPr>
              <w:t xml:space="preserve"> /</w:t>
            </w:r>
            <w:r>
              <w:rPr>
                <w:rFonts w:hint="eastAsia"/>
                <w:szCs w:val="21"/>
              </w:rPr>
              <w:t xml:space="preserve"> </w:t>
            </w:r>
            <w:r>
              <w:rPr>
                <w:szCs w:val="21"/>
              </w:rPr>
              <w:t>5.1</w:t>
            </w:r>
            <w:r>
              <w:rPr>
                <w:rFonts w:hint="eastAsia"/>
                <w:szCs w:val="21"/>
                <w:lang w:val="en-US" w:eastAsia="zh-CN"/>
              </w:rPr>
              <w:t xml:space="preserve"> / 5.1.2 / </w:t>
            </w:r>
            <w:r>
              <w:rPr>
                <w:szCs w:val="21"/>
              </w:rPr>
              <w:t>5.2</w:t>
            </w:r>
            <w:r>
              <w:rPr>
                <w:rFonts w:hint="eastAsia"/>
                <w:szCs w:val="21"/>
                <w:lang w:val="en-US" w:eastAsia="zh-CN"/>
              </w:rPr>
              <w:t xml:space="preserve"> /</w:t>
            </w:r>
            <w:r>
              <w:rPr>
                <w:rFonts w:hint="eastAsia"/>
                <w:szCs w:val="21"/>
              </w:rPr>
              <w:t xml:space="preserve"> </w:t>
            </w:r>
            <w:r>
              <w:rPr>
                <w:szCs w:val="21"/>
              </w:rPr>
              <w:t>5.3</w:t>
            </w:r>
            <w:r>
              <w:rPr>
                <w:rFonts w:hint="eastAsia"/>
                <w:szCs w:val="21"/>
                <w:lang w:val="en-US" w:eastAsia="zh-CN"/>
              </w:rPr>
              <w:t xml:space="preserve"> / </w:t>
            </w:r>
            <w:r>
              <w:rPr>
                <w:rFonts w:hint="eastAsia"/>
                <w:szCs w:val="21"/>
              </w:rPr>
              <w:t>6.1</w:t>
            </w:r>
            <w:r>
              <w:rPr>
                <w:rFonts w:hint="eastAsia"/>
                <w:szCs w:val="21"/>
                <w:lang w:val="en-US" w:eastAsia="zh-CN"/>
              </w:rPr>
              <w:t xml:space="preserve"> / </w:t>
            </w:r>
            <w:r>
              <w:rPr>
                <w:rFonts w:hint="eastAsia"/>
                <w:szCs w:val="21"/>
              </w:rPr>
              <w:t>6.2</w:t>
            </w:r>
            <w:r>
              <w:rPr>
                <w:rFonts w:hint="eastAsia"/>
                <w:szCs w:val="21"/>
                <w:lang w:val="en-US" w:eastAsia="zh-CN"/>
              </w:rPr>
              <w:t xml:space="preserve"> / </w:t>
            </w:r>
            <w:r>
              <w:rPr>
                <w:szCs w:val="21"/>
              </w:rPr>
              <w:t>6.3</w:t>
            </w:r>
            <w:r>
              <w:rPr>
                <w:rFonts w:hint="eastAsia"/>
                <w:szCs w:val="21"/>
                <w:lang w:val="en-US" w:eastAsia="zh-CN"/>
              </w:rPr>
              <w:t xml:space="preserve"> /</w:t>
            </w:r>
            <w:r>
              <w:rPr>
                <w:rFonts w:hint="eastAsia"/>
                <w:szCs w:val="21"/>
              </w:rPr>
              <w:t>9.1.1</w:t>
            </w:r>
            <w:r>
              <w:rPr>
                <w:rFonts w:hint="eastAsia"/>
                <w:szCs w:val="21"/>
                <w:lang w:val="en-US" w:eastAsia="zh-CN"/>
              </w:rPr>
              <w:t xml:space="preserve">/9.1.3/9.3 / </w:t>
            </w:r>
            <w:r>
              <w:rPr>
                <w:rFonts w:hint="eastAsia"/>
                <w:szCs w:val="21"/>
              </w:rPr>
              <w:t>10.1</w:t>
            </w:r>
            <w:r>
              <w:rPr>
                <w:rFonts w:hint="eastAsia"/>
                <w:szCs w:val="21"/>
                <w:lang w:val="en-US" w:eastAsia="zh-CN"/>
              </w:rPr>
              <w:t xml:space="preserve"> / </w:t>
            </w:r>
            <w:r>
              <w:rPr>
                <w:rFonts w:hint="eastAsia"/>
                <w:szCs w:val="21"/>
              </w:rPr>
              <w:t>10.3</w:t>
            </w:r>
            <w:bookmarkStart w:id="2" w:name="_GoBack"/>
            <w:bookmarkEnd w:id="2"/>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tcPr>
          <w:p>
            <w:pPr>
              <w:rPr>
                <w:rFonts w:hint="eastAsia"/>
              </w:rPr>
            </w:pPr>
            <w:r>
              <w:rPr>
                <w:rFonts w:hint="eastAsia"/>
                <w:vertAlign w:val="baseline"/>
                <w:lang w:val="en-US" w:eastAsia="zh-CN"/>
              </w:rPr>
              <w:t>上次审核问题验证/投诉或事故/政府主管部门监督抽查情况</w:t>
            </w:r>
          </w:p>
        </w:tc>
        <w:tc>
          <w:tcPr>
            <w:tcW w:w="960" w:type="dxa"/>
          </w:tcPr>
          <w:p>
            <w:pPr>
              <w:rPr>
                <w:rFonts w:hint="eastAsia"/>
              </w:rPr>
            </w:pPr>
          </w:p>
        </w:tc>
        <w:tc>
          <w:tcPr>
            <w:tcW w:w="745" w:type="dxa"/>
          </w:tcPr>
          <w:p>
            <w:pPr>
              <w:rPr>
                <w:rFonts w:hint="eastAsia"/>
              </w:rPr>
            </w:pPr>
          </w:p>
        </w:tc>
        <w:tc>
          <w:tcPr>
            <w:tcW w:w="9259" w:type="dxa"/>
          </w:tcPr>
          <w:p>
            <w:pPr>
              <w:rPr>
                <w:rFonts w:hint="default" w:eastAsia="宋体"/>
                <w:lang w:val="en-US" w:eastAsia="zh-CN"/>
              </w:rPr>
            </w:pPr>
            <w:r>
              <w:rPr>
                <w:rFonts w:hint="eastAsia"/>
                <w:lang w:val="en-US" w:eastAsia="zh-CN"/>
              </w:rPr>
              <w:t>上次审核问题经验证已整改，</w:t>
            </w:r>
            <w:r>
              <w:rPr>
                <w:rFonts w:hint="eastAsia"/>
                <w:vertAlign w:val="baseline"/>
                <w:lang w:val="en-US" w:eastAsia="zh-CN"/>
              </w:rPr>
              <w:t>体系运行期间</w:t>
            </w:r>
            <w:r>
              <w:rPr>
                <w:rFonts w:hint="eastAsia"/>
                <w:lang w:val="en-US" w:eastAsia="zh-CN"/>
              </w:rPr>
              <w:t>无投诉</w:t>
            </w:r>
            <w:r>
              <w:rPr>
                <w:rFonts w:hint="eastAsia"/>
                <w:vertAlign w:val="baseline"/>
                <w:lang w:val="en-US" w:eastAsia="zh-CN"/>
              </w:rPr>
              <w:t>或事故发生，无政府部门抽查情况</w:t>
            </w:r>
          </w:p>
        </w:tc>
        <w:tc>
          <w:tcPr>
            <w:tcW w:w="1585" w:type="dxa"/>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理解组织及其环境</w:t>
            </w:r>
          </w:p>
        </w:tc>
        <w:tc>
          <w:tcPr>
            <w:tcW w:w="960" w:type="dxa"/>
            <w:vMerge w:val="restart"/>
          </w:tcPr>
          <w:p>
            <w:r>
              <w:rPr>
                <w:rFonts w:hint="eastAsia"/>
              </w:rPr>
              <w:t xml:space="preserve">Q4.1 </w:t>
            </w:r>
          </w:p>
        </w:tc>
        <w:tc>
          <w:tcPr>
            <w:tcW w:w="745" w:type="dxa"/>
          </w:tcPr>
          <w:p>
            <w:r>
              <w:rPr>
                <w:rFonts w:hint="eastAsia"/>
              </w:rPr>
              <w:t>文件名称</w:t>
            </w:r>
          </w:p>
        </w:tc>
        <w:tc>
          <w:tcPr>
            <w:tcW w:w="9259" w:type="dxa"/>
          </w:tcPr>
          <w:p>
            <w:r>
              <w:rPr>
                <w:rFonts w:hint="eastAsia"/>
              </w:rPr>
              <w:t>如：</w:t>
            </w:r>
            <w:r>
              <w:rPr>
                <w:rFonts w:hint="eastAsia"/>
              </w:rPr>
              <w:sym w:font="Wingdings" w:char="00A8"/>
            </w:r>
            <w:r>
              <w:rPr>
                <w:rFonts w:hint="eastAsia"/>
              </w:rPr>
              <w:t>《组织及其环境控制程序》、</w:t>
            </w:r>
            <w:r>
              <w:rPr>
                <w:rFonts w:hint="eastAsia"/>
              </w:rPr>
              <w:sym w:font="Wingdings" w:char="00FE"/>
            </w:r>
            <w:r>
              <w:rPr>
                <w:rFonts w:hint="eastAsia"/>
              </w:rPr>
              <w:t>管理手册第4.1章</w:t>
            </w:r>
          </w:p>
        </w:tc>
        <w:tc>
          <w:tcPr>
            <w:tcW w:w="1585" w:type="dxa"/>
            <w:vMerge w:val="restart"/>
          </w:tcPr>
          <w:p>
            <w:pPr>
              <w:rPr>
                <w:rFonts w:hint="eastAsia"/>
                <w:lang w:val="en-US" w:eastAsia="zh-CN"/>
              </w:rPr>
            </w:pPr>
            <w:r>
              <w:rPr>
                <w:rFonts w:hint="eastAsia"/>
                <w:lang w:val="en-US" w:eastAsia="zh-CN"/>
              </w:rPr>
              <w:t>符合</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与最高管理者沟通：</w:t>
            </w:r>
          </w:p>
          <w:p>
            <w:pPr>
              <w:rPr>
                <w:color w:val="000000"/>
                <w:szCs w:val="21"/>
              </w:rPr>
            </w:pPr>
            <w:r>
              <w:rPr>
                <w:rFonts w:hint="eastAsia"/>
                <w:color w:val="000000"/>
                <w:szCs w:val="21"/>
              </w:rPr>
              <w:t>组织的环境：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w:t>
                  </w:r>
                  <w:r>
                    <w:rPr>
                      <w:rFonts w:hint="eastAsia" w:ascii="宋体" w:hAnsi="宋体" w:eastAsia="宋体" w:cs="宋体"/>
                      <w:color w:val="000000"/>
                      <w:kern w:val="0"/>
                      <w:sz w:val="20"/>
                      <w:szCs w:val="20"/>
                    </w:rPr>
                    <w:t>政治因素</w:t>
                  </w:r>
                  <w:r>
                    <w:rPr>
                      <w:rFonts w:hint="eastAsia"/>
                    </w:rPr>
                    <w:t xml:space="preserve"> ☑</w:t>
                  </w:r>
                  <w:r>
                    <w:rPr>
                      <w:rFonts w:hint="eastAsia" w:ascii="宋体" w:hAnsi="宋体" w:eastAsia="宋体" w:cs="宋体"/>
                      <w:color w:val="000000"/>
                      <w:kern w:val="0"/>
                      <w:sz w:val="20"/>
                      <w:szCs w:val="20"/>
                    </w:rPr>
                    <w:t>经济因素</w:t>
                  </w:r>
                  <w:r>
                    <w:rPr>
                      <w:rFonts w:hint="eastAsia"/>
                    </w:rPr>
                    <w:t xml:space="preserve"> ☑</w:t>
                  </w:r>
                  <w:r>
                    <w:rPr>
                      <w:rFonts w:hint="eastAsia" w:ascii="宋体" w:hAnsi="宋体" w:eastAsia="宋体" w:cs="宋体"/>
                      <w:color w:val="000000"/>
                      <w:kern w:val="0"/>
                      <w:sz w:val="20"/>
                      <w:szCs w:val="20"/>
                    </w:rPr>
                    <w:t>社会因素</w:t>
                  </w:r>
                  <w:r>
                    <w:rPr>
                      <w:rFonts w:hint="eastAsia"/>
                    </w:rPr>
                    <w:t xml:space="preserve"> ☑</w:t>
                  </w:r>
                  <w:r>
                    <w:rPr>
                      <w:rFonts w:hint="eastAsia" w:ascii="宋体" w:hAnsi="宋体" w:eastAsia="宋体" w:cs="宋体"/>
                      <w:color w:val="000000"/>
                      <w:kern w:val="0"/>
                      <w:sz w:val="20"/>
                      <w:szCs w:val="20"/>
                    </w:rPr>
                    <w:t>技术因素</w:t>
                  </w:r>
                  <w:r>
                    <w:rPr>
                      <w:rFonts w:hint="eastAsia"/>
                    </w:rPr>
                    <w:t xml:space="preserve"> </w:t>
                  </w:r>
                  <w:r>
                    <w:rPr>
                      <w:rFonts w:hint="eastAsia"/>
                      <w:lang w:eastAsia="zh-CN"/>
                    </w:rPr>
                    <w:t>☑</w:t>
                  </w:r>
                  <w:r>
                    <w:rPr>
                      <w:rFonts w:hint="eastAsia" w:ascii="宋体" w:hAnsi="宋体" w:eastAsia="宋体" w:cs="宋体"/>
                      <w:color w:val="000000"/>
                      <w:kern w:val="0"/>
                      <w:sz w:val="20"/>
                      <w:szCs w:val="20"/>
                    </w:rPr>
                    <w:t>法律法规因素</w:t>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r>
                    <w:rPr>
                      <w:rFonts w:hint="eastAsia" w:ascii="宋体" w:hAnsi="宋体" w:eastAsia="宋体" w:cs="宋体"/>
                      <w:color w:val="000000"/>
                      <w:kern w:val="0"/>
                      <w:sz w:val="20"/>
                      <w:szCs w:val="20"/>
                    </w:rPr>
                    <w:t>一系列的社会因素，造成公司人力资源成本越来越高，招工难为本年度公司发展的一大难题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w:t>
                  </w:r>
                  <w:r>
                    <w:rPr>
                      <w:rFonts w:hint="eastAsia" w:ascii="宋体" w:hAnsi="宋体" w:eastAsia="宋体" w:cs="宋体"/>
                      <w:color w:val="000000"/>
                      <w:kern w:val="0"/>
                      <w:sz w:val="20"/>
                      <w:szCs w:val="20"/>
                    </w:rPr>
                    <w:t>企业文化</w:t>
                  </w:r>
                  <w:r>
                    <w:rPr>
                      <w:rFonts w:hint="eastAsia"/>
                    </w:rPr>
                    <w:t xml:space="preserve">  ☑</w:t>
                  </w:r>
                  <w:r>
                    <w:rPr>
                      <w:rFonts w:hint="eastAsia" w:ascii="宋体" w:hAnsi="宋体" w:eastAsia="宋体" w:cs="宋体"/>
                      <w:color w:val="000000"/>
                      <w:kern w:val="0"/>
                      <w:sz w:val="20"/>
                      <w:szCs w:val="20"/>
                    </w:rPr>
                    <w:t>技术能力</w:t>
                  </w:r>
                  <w:r>
                    <w:rPr>
                      <w:rFonts w:hint="eastAsia"/>
                    </w:rPr>
                    <w:t xml:space="preserve">  ☑</w:t>
                  </w:r>
                  <w:r>
                    <w:rPr>
                      <w:rFonts w:ascii="宋体" w:hAnsi="宋体" w:eastAsia="宋体" w:cs="宋体"/>
                      <w:color w:val="000000"/>
                      <w:kern w:val="0"/>
                      <w:sz w:val="20"/>
                      <w:szCs w:val="20"/>
                    </w:rPr>
                    <w:t>设备资源</w:t>
                  </w:r>
                  <w:r>
                    <w:rPr>
                      <w:rFonts w:hint="eastAsia"/>
                    </w:rPr>
                    <w:t xml:space="preserve"> ☑</w:t>
                  </w:r>
                  <w:r>
                    <w:rPr>
                      <w:rFonts w:hint="eastAsia" w:ascii="宋体" w:hAnsi="宋体" w:eastAsia="宋体" w:cs="宋体"/>
                      <w:color w:val="000000"/>
                      <w:kern w:val="0"/>
                      <w:sz w:val="20"/>
                      <w:szCs w:val="20"/>
                    </w:rPr>
                    <w:t>人力环境</w:t>
                  </w:r>
                  <w:r>
                    <w:rPr>
                      <w:rFonts w:hint="eastAsia"/>
                    </w:rPr>
                    <w:t xml:space="preserve"> ☑</w:t>
                  </w:r>
                  <w:r>
                    <w:rPr>
                      <w:rFonts w:hint="eastAsia" w:ascii="宋体" w:hAnsi="宋体" w:eastAsia="宋体" w:cs="宋体"/>
                      <w:color w:val="000000"/>
                      <w:kern w:val="0"/>
                      <w:sz w:val="20"/>
                      <w:szCs w:val="20"/>
                    </w:rPr>
                    <w:t>执行力</w:t>
                  </w:r>
                  <w:r>
                    <w:rPr>
                      <w:rFonts w:hint="eastAsia"/>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r>
                    <w:rPr>
                      <w:rFonts w:ascii="宋体" w:hAnsi="宋体" w:eastAsia="宋体" w:cs="宋体"/>
                      <w:color w:val="000000"/>
                      <w:kern w:val="0"/>
                      <w:sz w:val="20"/>
                      <w:szCs w:val="20"/>
                    </w:rPr>
                    <w:t>设备资源因素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组织优势说明</w:t>
                  </w:r>
                </w:p>
              </w:tc>
              <w:tc>
                <w:tcPr>
                  <w:tcW w:w="7375" w:type="dxa"/>
                </w:tcPr>
                <w:p>
                  <w:r>
                    <w:rPr>
                      <w:rFonts w:ascii="宋体" w:hAnsi="宋体" w:eastAsia="宋体" w:cs="宋体"/>
                      <w:color w:val="000000"/>
                      <w:kern w:val="0"/>
                      <w:sz w:val="20"/>
                      <w:szCs w:val="20"/>
                    </w:rPr>
                    <w:t>随着公司的逐步发</w:t>
                  </w:r>
                  <w:r>
                    <w:rPr>
                      <w:rFonts w:hint="eastAsia" w:ascii="宋体" w:hAnsi="宋体" w:cs="宋体"/>
                      <w:color w:val="000000"/>
                      <w:kern w:val="0"/>
                      <w:sz w:val="20"/>
                      <w:szCs w:val="20"/>
                      <w:lang w:val="en-US" w:eastAsia="zh-CN"/>
                    </w:rPr>
                    <w:t>展</w:t>
                  </w:r>
                  <w:r>
                    <w:rPr>
                      <w:rFonts w:ascii="宋体" w:hAnsi="宋体" w:eastAsia="宋体" w:cs="宋体"/>
                      <w:color w:val="000000"/>
                      <w:kern w:val="0"/>
                      <w:sz w:val="20"/>
                      <w:szCs w:val="20"/>
                    </w:rPr>
                    <w:t>，每年添置了多台新设备，为生产提供有利的保障。</w:t>
                  </w:r>
                  <w:r>
                    <w:rPr>
                      <w:rFonts w:ascii="宋体" w:hAnsi="宋体" w:eastAsia="宋体" w:cs="宋体"/>
                      <w:color w:val="000000"/>
                      <w:kern w:val="0"/>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组织劣势说明</w:t>
                  </w:r>
                </w:p>
              </w:tc>
              <w:tc>
                <w:tcPr>
                  <w:tcW w:w="7375" w:type="dxa"/>
                </w:tcPr>
                <w:p>
                  <w:r>
                    <w:rPr>
                      <w:rFonts w:ascii="宋体" w:hAnsi="宋体" w:eastAsia="宋体" w:cs="宋体"/>
                      <w:color w:val="000000"/>
                      <w:kern w:val="0"/>
                      <w:sz w:val="20"/>
                      <w:szCs w:val="20"/>
                    </w:rPr>
                    <w:t>部分设备已使用多年，已经逐渐老化。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主要风险的说明</w:t>
                  </w:r>
                </w:p>
              </w:tc>
              <w:tc>
                <w:tcPr>
                  <w:tcW w:w="7375" w:type="dxa"/>
                </w:tcPr>
                <w:p>
                  <w:r>
                    <w:rPr>
                      <w:rFonts w:ascii="宋体" w:hAnsi="宋体" w:eastAsia="宋体" w:cs="宋体"/>
                      <w:color w:val="000000"/>
                      <w:kern w:val="0"/>
                      <w:sz w:val="20"/>
                      <w:szCs w:val="20"/>
                    </w:rPr>
                    <w:t>旧</w:t>
                  </w:r>
                  <w:r>
                    <w:rPr>
                      <w:rFonts w:hint="eastAsia" w:ascii="宋体" w:hAnsi="宋体" w:eastAsia="宋体" w:cs="宋体"/>
                      <w:color w:val="000000"/>
                      <w:kern w:val="0"/>
                      <w:sz w:val="20"/>
                      <w:szCs w:val="20"/>
                    </w:rPr>
                    <w:t>设备</w:t>
                  </w:r>
                  <w:r>
                    <w:rPr>
                      <w:rFonts w:ascii="宋体" w:hAnsi="宋体" w:eastAsia="宋体" w:cs="宋体"/>
                      <w:color w:val="000000"/>
                      <w:kern w:val="0"/>
                      <w:sz w:val="20"/>
                      <w:szCs w:val="20"/>
                    </w:rPr>
                    <w:t>的老化现象已影响到要关产品的质量，如维修频率过高，性能不稳定，生产或检验之产品精度无法答到要求，线路老化引起的安全隐患等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机遇的说明</w:t>
                  </w:r>
                </w:p>
              </w:tc>
              <w:tc>
                <w:tcPr>
                  <w:tcW w:w="7375" w:type="dxa"/>
                </w:tcPr>
                <w:p>
                  <w:pPr>
                    <w:rPr>
                      <w:rFonts w:hint="default" w:eastAsia="宋体"/>
                      <w:lang w:val="en-US" w:eastAsia="zh-CN"/>
                    </w:rPr>
                  </w:pPr>
                  <w:r>
                    <w:rPr>
                      <w:rFonts w:hint="eastAsia"/>
                      <w:lang w:val="en-US" w:eastAsia="zh-CN"/>
                    </w:rPr>
                    <w:t>新设备的引进，提升产品质量，满足客户要求</w:t>
                  </w: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rPr>
              <w:t xml:space="preserve">《组织内外部环境因素识别表》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理解相关方的需求和期望</w:t>
            </w:r>
          </w:p>
        </w:tc>
        <w:tc>
          <w:tcPr>
            <w:tcW w:w="960" w:type="dxa"/>
            <w:vMerge w:val="restart"/>
          </w:tcPr>
          <w:p>
            <w:r>
              <w:rPr>
                <w:rFonts w:hint="eastAsia"/>
              </w:rPr>
              <w:t xml:space="preserve">Q4.2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《理解相关方的需求和期望控制程序》、</w:t>
            </w:r>
            <w:r>
              <w:rPr>
                <w:rFonts w:hint="eastAsia"/>
              </w:rPr>
              <w:sym w:font="Wingdings" w:char="00FE"/>
            </w:r>
            <w:r>
              <w:rPr>
                <w:rFonts w:hint="eastAsia"/>
              </w:rPr>
              <w:t>管理手册第4.2章</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805"/>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3805" w:type="dxa"/>
                </w:tcPr>
                <w:p>
                  <w:pPr>
                    <w:rPr>
                      <w:highlight w:val="cyan"/>
                    </w:rPr>
                  </w:pPr>
                  <w:r>
                    <w:rPr>
                      <w:rFonts w:hint="eastAsia"/>
                    </w:rPr>
                    <w:t>相关方名称举例</w:t>
                  </w:r>
                </w:p>
              </w:tc>
              <w:tc>
                <w:tcPr>
                  <w:tcW w:w="3625"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☑政府机构</w:t>
                  </w:r>
                </w:p>
              </w:tc>
              <w:tc>
                <w:tcPr>
                  <w:tcW w:w="3805" w:type="dxa"/>
                </w:tcPr>
                <w:p>
                  <w:r>
                    <w:rPr>
                      <w:rFonts w:hint="eastAsia"/>
                    </w:rPr>
                    <w:t>如</w:t>
                  </w:r>
                  <w:r>
                    <w:rPr>
                      <w:rFonts w:hint="eastAsia"/>
                      <w:lang w:val="en-US" w:eastAsia="zh-CN"/>
                    </w:rPr>
                    <w:t>无锡市</w:t>
                  </w:r>
                  <w:r>
                    <w:rPr>
                      <w:rFonts w:hint="eastAsia"/>
                    </w:rPr>
                    <w:t>市场监督管理局</w:t>
                  </w:r>
                </w:p>
              </w:tc>
              <w:tc>
                <w:tcPr>
                  <w:tcW w:w="3625" w:type="dxa"/>
                </w:tcPr>
                <w:p>
                  <w:r>
                    <w:rPr>
                      <w:rFonts w:hint="eastAsia"/>
                    </w:rPr>
                    <w:t>☑遵守质量相关的法律法规</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☑供方</w:t>
                  </w:r>
                </w:p>
              </w:tc>
              <w:tc>
                <w:tcPr>
                  <w:tcW w:w="3805" w:type="dxa"/>
                </w:tcPr>
                <w:p>
                  <w:pPr>
                    <w:rPr>
                      <w:rFonts w:hint="default" w:eastAsia="宋体"/>
                      <w:lang w:val="en-US" w:eastAsia="zh-CN"/>
                    </w:rPr>
                  </w:pPr>
                  <w:r>
                    <w:rPr>
                      <w:rFonts w:hint="eastAsia"/>
                    </w:rPr>
                    <w:t>例如：</w:t>
                  </w:r>
                  <w:r>
                    <w:rPr>
                      <w:rFonts w:hint="eastAsia"/>
                      <w:lang w:val="en-US" w:eastAsia="zh-CN"/>
                    </w:rPr>
                    <w:t>江苏佑鼎流体控制设备制造有限公司</w:t>
                  </w:r>
                </w:p>
              </w:tc>
              <w:tc>
                <w:tcPr>
                  <w:tcW w:w="3625" w:type="dxa"/>
                </w:tcPr>
                <w:p>
                  <w:r>
                    <w:rPr>
                      <w:rFonts w:hint="eastAsia"/>
                    </w:rPr>
                    <w:t xml:space="preserve">☑进料合格率高                               </w:t>
                  </w:r>
                </w:p>
                <w:p>
                  <w:r>
                    <w:rPr>
                      <w:rFonts w:hint="eastAsia"/>
                      <w:lang w:eastAsia="zh-CN"/>
                    </w:rPr>
                    <w:t>☑</w:t>
                  </w:r>
                  <w:r>
                    <w:rPr>
                      <w:rFonts w:hint="eastAsia"/>
                    </w:rPr>
                    <w:t xml:space="preserve">长期合作、双赢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☑顾客</w:t>
                  </w:r>
                </w:p>
              </w:tc>
              <w:tc>
                <w:tcPr>
                  <w:tcW w:w="3805" w:type="dxa"/>
                </w:tcPr>
                <w:p>
                  <w:r>
                    <w:rPr>
                      <w:rFonts w:hint="eastAsia"/>
                    </w:rPr>
                    <w:t>例如：</w:t>
                  </w:r>
                  <w:r>
                    <w:rPr>
                      <w:rFonts w:hint="eastAsia" w:ascii="宋体" w:hAnsi="宋体" w:eastAsia="宋体"/>
                      <w:szCs w:val="21"/>
                      <w:lang w:val="en-US" w:eastAsia="zh-CN"/>
                    </w:rPr>
                    <w:t>中化二建集团有限公司</w:t>
                  </w:r>
                </w:p>
              </w:tc>
              <w:tc>
                <w:tcPr>
                  <w:tcW w:w="3625" w:type="dxa"/>
                </w:tcPr>
                <w:p>
                  <w:r>
                    <w:rPr>
                      <w:rFonts w:hint="eastAsia"/>
                    </w:rPr>
                    <w:t>☑按时按质按量交付产品或服务；</w:t>
                  </w:r>
                </w:p>
                <w:p>
                  <w:r>
                    <w:rPr>
                      <w:rFonts w:hint="eastAsia"/>
                    </w:rPr>
                    <w:t>☑产品/服务质量持续满足要求</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□消费者</w:t>
                  </w:r>
                </w:p>
              </w:tc>
              <w:tc>
                <w:tcPr>
                  <w:tcW w:w="3805" w:type="dxa"/>
                </w:tcPr>
                <w:p>
                  <w:r>
                    <w:rPr>
                      <w:rFonts w:hint="eastAsia"/>
                    </w:rPr>
                    <w:t>——</w:t>
                  </w:r>
                </w:p>
              </w:tc>
              <w:tc>
                <w:tcPr>
                  <w:tcW w:w="3625" w:type="dxa"/>
                </w:tcPr>
                <w:p>
                  <w:r>
                    <w:rPr>
                      <w:rFonts w:hint="eastAsia"/>
                    </w:rPr>
                    <w:t>□良好的使用感受、持续经营</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t>☑员工</w:t>
                  </w:r>
                </w:p>
              </w:tc>
              <w:tc>
                <w:tcPr>
                  <w:tcW w:w="3805" w:type="dxa"/>
                </w:tcPr>
                <w:p>
                  <w:pPr>
                    <w:rPr>
                      <w:szCs w:val="24"/>
                    </w:rPr>
                  </w:pPr>
                  <w:r>
                    <w:rPr>
                      <w:rFonts w:hint="eastAsia"/>
                      <w:szCs w:val="24"/>
                    </w:rPr>
                    <w:t>——</w:t>
                  </w:r>
                </w:p>
              </w:tc>
              <w:tc>
                <w:tcPr>
                  <w:tcW w:w="3625" w:type="dxa"/>
                </w:tcPr>
                <w:p>
                  <w:r>
                    <w:rPr>
                      <w:rFonts w:hint="eastAsia"/>
                    </w:rPr>
                    <w:t>☑组织的持续经营、自我发展</w:t>
                  </w:r>
                </w:p>
                <w:p>
                  <w:r>
                    <w:rPr>
                      <w:rFonts w:hint="eastAsia"/>
                      <w:lang w:eastAsia="zh-CN"/>
                    </w:rPr>
                    <w:t>☑</w:t>
                  </w:r>
                  <w:r>
                    <w:rPr>
                      <w:rFonts w:hint="eastAsia"/>
                    </w:rPr>
                    <w:t xml:space="preserve">薪资、福利增加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hint="default" w:eastAsia="宋体"/>
                      <w:lang w:val="en-US" w:eastAsia="zh-CN"/>
                    </w:rPr>
                  </w:pPr>
                  <w:r>
                    <w:rPr>
                      <w:rFonts w:hint="eastAsia"/>
                    </w:rPr>
                    <w:t>☑</w:t>
                  </w:r>
                  <w:r>
                    <w:rPr>
                      <w:rFonts w:hint="eastAsia"/>
                      <w:lang w:val="en-US" w:eastAsia="zh-CN"/>
                    </w:rPr>
                    <w:t>审核机构</w:t>
                  </w:r>
                </w:p>
              </w:tc>
              <w:tc>
                <w:tcPr>
                  <w:tcW w:w="3805" w:type="dxa"/>
                </w:tcPr>
                <w:p>
                  <w:pPr>
                    <w:rPr>
                      <w:rFonts w:hint="eastAsia" w:eastAsia="宋体"/>
                      <w:lang w:eastAsia="zh-CN"/>
                    </w:rPr>
                  </w:pPr>
                  <w:r>
                    <w:rPr>
                      <w:rFonts w:hint="eastAsia"/>
                      <w:lang w:val="en-US" w:eastAsia="zh-CN"/>
                    </w:rPr>
                    <w:t xml:space="preserve"> </w:t>
                  </w:r>
                </w:p>
              </w:tc>
              <w:tc>
                <w:tcPr>
                  <w:tcW w:w="3625" w:type="dxa"/>
                </w:tcPr>
                <w:p>
                  <w:pPr>
                    <w:rPr>
                      <w:rFonts w:hint="eastAsia"/>
                    </w:rPr>
                  </w:pPr>
                  <w:r>
                    <w:rPr>
                      <w:rFonts w:hint="eastAsia"/>
                    </w:rPr>
                    <w:t>☑公司体系运作的有效性、充分性和符合性</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3805" w:type="dxa"/>
                </w:tcPr>
                <w:p/>
              </w:tc>
              <w:tc>
                <w:tcPr>
                  <w:tcW w:w="3625" w:type="dxa"/>
                </w:tcP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确定质量管理体系的范围</w:t>
            </w:r>
          </w:p>
        </w:tc>
        <w:tc>
          <w:tcPr>
            <w:tcW w:w="960" w:type="dxa"/>
            <w:vMerge w:val="restart"/>
          </w:tcPr>
          <w:p>
            <w:r>
              <w:rPr>
                <w:rFonts w:hint="eastAsia"/>
              </w:rPr>
              <w:t>Q4.3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管理手册第4.3章和</w:t>
            </w:r>
            <w:r>
              <w:rPr>
                <w:rFonts w:hint="eastAsia"/>
              </w:rPr>
              <w:sym w:font="Wingdings" w:char="00FE"/>
            </w:r>
            <w:r>
              <w:rPr>
                <w:rFonts w:hint="eastAsia"/>
              </w:rPr>
              <w:t>“公司介绍”</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组织应明确相关管理体系的范围；</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7132" w:type="dxa"/>
                </w:tcPr>
                <w:p>
                  <w:r>
                    <w:rPr>
                      <w:rFonts w:hint="eastAsia"/>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7132" w:type="dxa"/>
                </w:tcPr>
                <w:p>
                  <w:bookmarkStart w:id="0" w:name="审核范围"/>
                  <w:r>
                    <w:rPr>
                      <w:rFonts w:hint="eastAsia" w:ascii="宋体" w:hAnsi="宋体"/>
                      <w:szCs w:val="21"/>
                    </w:rPr>
                    <w:t>环保设备的生产及销售</w:t>
                  </w:r>
                  <w:bookmarkEnd w:id="0"/>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注册地址</w:t>
                  </w:r>
                </w:p>
              </w:tc>
              <w:tc>
                <w:tcPr>
                  <w:tcW w:w="7132" w:type="dxa"/>
                </w:tcPr>
                <w:p>
                  <w:bookmarkStart w:id="1" w:name="注册地址"/>
                  <w:r>
                    <w:t>宜兴市高塍镇远东大道66号中国宜兴国际环保城23幢116室</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w:t>
                  </w:r>
                </w:p>
              </w:tc>
              <w:tc>
                <w:tcPr>
                  <w:tcW w:w="7132" w:type="dxa"/>
                </w:tcPr>
                <w:p>
                  <w:r>
                    <w:t>宜兴市高塍镇远东大道66号中国宜兴国际环保城23幢116室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7132"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7132" w:type="dxa"/>
                </w:tcPr>
                <w:p>
                  <w:r>
                    <w:rPr>
                      <w:rFonts w:hint="eastAsia"/>
                    </w:rPr>
                    <w:sym w:font="Wingdings" w:char="00A8"/>
                  </w:r>
                  <w:r>
                    <w:rPr>
                      <w:rFonts w:hint="eastAsia"/>
                    </w:rPr>
                    <w:t xml:space="preserve"> 体系建立以来</w:t>
                  </w:r>
                </w:p>
                <w:p>
                  <w:r>
                    <w:rPr>
                      <w:rFonts w:hint="eastAsia"/>
                    </w:rPr>
                    <w:sym w:font="Wingdings" w:char="00FE"/>
                  </w:r>
                  <w:r>
                    <w:rPr>
                      <w:rFonts w:hint="eastAsia"/>
                    </w:rPr>
                    <w:t>近一年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7132" w:type="dxa"/>
                </w:tcPr>
                <w:p>
                  <w:r>
                    <w:rPr>
                      <w:rFonts w:hint="eastAsia"/>
                    </w:rPr>
                    <w:sym w:font="Wingdings" w:char="00FE"/>
                  </w:r>
                  <w:r>
                    <w:rPr>
                      <w:rFonts w:hint="eastAsia"/>
                    </w:rPr>
                    <w:t>8.3产品和服务的设计和开发</w:t>
                  </w:r>
                </w:p>
                <w:p>
                  <w:r>
                    <w:rPr>
                      <w:rFonts w:hint="eastAsia"/>
                    </w:rPr>
                    <w:sym w:font="Wingdings" w:char="00A8"/>
                  </w:r>
                  <w:r>
                    <w:rPr>
                      <w:rFonts w:hint="eastAsia"/>
                    </w:rPr>
                    <w:t>无不适用条款</w:t>
                  </w:r>
                </w:p>
                <w:p>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不适用的理由（可多选）</w:t>
                  </w:r>
                </w:p>
              </w:tc>
              <w:tc>
                <w:tcPr>
                  <w:tcW w:w="7132" w:type="dxa"/>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r>
          </w:tbl>
          <w:p/>
          <w:p>
            <w:pPr>
              <w:rPr>
                <w:color w:val="000000"/>
                <w:szCs w:val="21"/>
              </w:rPr>
            </w:pPr>
            <w:r>
              <w:rPr>
                <w:rFonts w:hint="eastAsia"/>
                <w:color w:val="000000"/>
                <w:szCs w:val="21"/>
              </w:rPr>
              <w:t>在企业的管理手册中有描述。</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质量管理体系及其过程</w:t>
            </w:r>
          </w:p>
        </w:tc>
        <w:tc>
          <w:tcPr>
            <w:tcW w:w="960" w:type="dxa"/>
            <w:vMerge w:val="restart"/>
          </w:tcPr>
          <w:p>
            <w:r>
              <w:rPr>
                <w:rFonts w:hint="eastAsia"/>
              </w:rPr>
              <w:t xml:space="preserve">Q4.4 </w:t>
            </w:r>
          </w:p>
        </w:tc>
        <w:tc>
          <w:tcPr>
            <w:tcW w:w="745" w:type="dxa"/>
          </w:tcPr>
          <w:p>
            <w:r>
              <w:rPr>
                <w:rFonts w:hint="eastAsia"/>
              </w:rPr>
              <w:t>文件名称</w:t>
            </w:r>
          </w:p>
        </w:tc>
        <w:tc>
          <w:tcPr>
            <w:tcW w:w="9259" w:type="dxa"/>
          </w:tcPr>
          <w:p>
            <w:r>
              <w:rPr>
                <w:rFonts w:hint="eastAsia"/>
              </w:rPr>
              <w:t>如：☑管理手册第4.4章和</w:t>
            </w:r>
            <w:r>
              <w:rPr>
                <w:rFonts w:hint="eastAsia"/>
                <w:lang w:eastAsia="zh-CN"/>
              </w:rPr>
              <w:t>☑</w:t>
            </w:r>
            <w:r>
              <w:rPr>
                <w:rFonts w:hint="eastAsia"/>
              </w:rPr>
              <w:t>《过程风险与机遇评价与应对策划表》</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rPr>
                <w:b/>
                <w:bCs/>
              </w:rPr>
            </w:pPr>
            <w:r>
              <w:rPr>
                <w:rFonts w:hint="eastAsia"/>
              </w:rPr>
              <w:t xml:space="preserve">☑订单评审过程 ☑制造过程 ☑交付和顾客反馈过程 ☑经营计划过程☑内部审核过程 ☑管理评审过程 </w:t>
            </w:r>
            <w:r>
              <w:rPr>
                <w:rFonts w:hint="eastAsia"/>
                <w:lang w:eastAsia="zh-CN"/>
              </w:rPr>
              <w:t>☑</w:t>
            </w:r>
            <w:r>
              <w:rPr>
                <w:rFonts w:hint="eastAsia"/>
              </w:rPr>
              <w:t xml:space="preserve">文件记录管理过程 ☑人力资源管理过程 ☑采购过程 ☑检验过程 </w:t>
            </w:r>
            <w:r>
              <w:rPr>
                <w:rFonts w:hint="eastAsia"/>
                <w:lang w:eastAsia="zh-CN"/>
              </w:rPr>
              <w:t>☑</w:t>
            </w:r>
            <w:r>
              <w:rPr>
                <w:rFonts w:hint="eastAsia"/>
              </w:rPr>
              <w:t>设备工装管理过程☑检验设备管理过程☑不合格管理过程☑改进过程</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□新产品设计开发 □原材料订制 </w:t>
            </w:r>
            <w:r>
              <w:rPr>
                <w:rFonts w:hint="eastAsia"/>
                <w:lang w:eastAsia="zh-CN"/>
              </w:rPr>
              <w:t>☑</w:t>
            </w:r>
            <w:r>
              <w:rPr>
                <w:rFonts w:hint="eastAsia"/>
              </w:rPr>
              <w:t>生产/服务过程 □检验检测 ☑产品运输 □设备维修</w:t>
            </w:r>
          </w:p>
          <w:p>
            <w:pPr>
              <w:spacing w:before="40" w:after="40"/>
            </w:pPr>
            <w:r>
              <w:rPr>
                <w:rFonts w:hint="eastAsia"/>
              </w:rPr>
              <w:t>□人员培训 □其他</w:t>
            </w:r>
          </w:p>
          <w:p>
            <w:pPr>
              <w:rPr>
                <w:highlight w:val="cyan"/>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rPr>
              <w:t>Q5.1  </w:t>
            </w:r>
          </w:p>
        </w:tc>
        <w:tc>
          <w:tcPr>
            <w:tcW w:w="745" w:type="dxa"/>
          </w:tcPr>
          <w:p>
            <w:r>
              <w:rPr>
                <w:rFonts w:hint="eastAsia"/>
              </w:rPr>
              <w:t>文件名称</w:t>
            </w:r>
          </w:p>
        </w:tc>
        <w:tc>
          <w:tcPr>
            <w:tcW w:w="9259" w:type="dxa"/>
          </w:tcPr>
          <w:p>
            <w:r>
              <w:rPr>
                <w:rFonts w:hint="eastAsia"/>
              </w:rPr>
              <w:t>如：☑管理手册第5.1章和☑“总经理岗位职责”</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color w:val="000000"/>
                <w:szCs w:val="21"/>
              </w:rPr>
              <w:t xml:space="preserve">对质量管理体系的有效性承担责任； </w:t>
            </w:r>
          </w:p>
          <w:p>
            <w:pPr>
              <w:rPr>
                <w:color w:val="000000"/>
                <w:szCs w:val="21"/>
              </w:rPr>
            </w:pPr>
            <w:r>
              <w:rPr>
                <w:rFonts w:hint="eastAsia"/>
                <w:color w:val="000000"/>
                <w:szCs w:val="21"/>
              </w:rPr>
              <w:sym w:font="Wingdings" w:char="00FE"/>
            </w:r>
            <w:r>
              <w:rPr>
                <w:rFonts w:hint="eastAsia"/>
                <w:color w:val="000000"/>
                <w:szCs w:val="21"/>
              </w:rPr>
              <w:t xml:space="preserve">确保制定质量管理体系的质量方针和质量目标，并与组织的环境和战略方向相一致； </w:t>
            </w:r>
          </w:p>
          <w:p>
            <w:pPr>
              <w:rPr>
                <w:color w:val="000000"/>
                <w:szCs w:val="21"/>
              </w:rPr>
            </w:pPr>
            <w:r>
              <w:rPr>
                <w:rFonts w:hint="eastAsia"/>
                <w:color w:val="000000"/>
                <w:szCs w:val="21"/>
              </w:rPr>
              <w:sym w:font="Wingdings" w:char="00FE"/>
            </w:r>
            <w:r>
              <w:rPr>
                <w:rFonts w:hint="eastAsia"/>
                <w:color w:val="000000"/>
                <w:szCs w:val="21"/>
              </w:rPr>
              <w:t xml:space="preserve">确保质量管理体系要求融入组织的业务过程；  </w:t>
            </w:r>
          </w:p>
          <w:p>
            <w:pPr>
              <w:rPr>
                <w:color w:val="000000"/>
                <w:szCs w:val="21"/>
              </w:rPr>
            </w:pPr>
            <w:r>
              <w:rPr>
                <w:rFonts w:hint="eastAsia"/>
                <w:color w:val="000000"/>
                <w:szCs w:val="21"/>
              </w:rPr>
              <w:sym w:font="Wingdings" w:char="00FE"/>
            </w:r>
            <w:r>
              <w:rPr>
                <w:rFonts w:hint="eastAsia"/>
                <w:color w:val="000000"/>
                <w:szCs w:val="21"/>
              </w:rPr>
              <w:t xml:space="preserve">促进使用过程方法和基于风险的思维； </w:t>
            </w:r>
          </w:p>
          <w:p>
            <w:pPr>
              <w:rPr>
                <w:color w:val="000000"/>
                <w:szCs w:val="21"/>
              </w:rPr>
            </w:pPr>
            <w:r>
              <w:rPr>
                <w:rFonts w:hint="eastAsia"/>
                <w:color w:val="000000"/>
                <w:szCs w:val="21"/>
              </w:rPr>
              <w:sym w:font="Wingdings" w:char="00FE"/>
            </w:r>
            <w:r>
              <w:rPr>
                <w:rFonts w:hint="eastAsia"/>
                <w:color w:val="000000"/>
                <w:szCs w:val="21"/>
              </w:rPr>
              <w:t xml:space="preserve">确保质量管理体系所需的资源是可用的； </w:t>
            </w:r>
          </w:p>
          <w:p>
            <w:pPr>
              <w:rPr>
                <w:color w:val="000000"/>
                <w:szCs w:val="21"/>
              </w:rPr>
            </w:pPr>
            <w:r>
              <w:rPr>
                <w:rFonts w:hint="eastAsia"/>
                <w:color w:val="000000"/>
                <w:szCs w:val="21"/>
              </w:rPr>
              <w:sym w:font="Wingdings" w:char="00FE"/>
            </w:r>
            <w:r>
              <w:rPr>
                <w:rFonts w:hint="eastAsia"/>
                <w:color w:val="000000"/>
                <w:szCs w:val="21"/>
              </w:rPr>
              <w:t>沟通有效的质量管理和符合质量管理体系要求的重要性；</w:t>
            </w:r>
          </w:p>
          <w:p>
            <w:pPr>
              <w:rPr>
                <w:color w:val="000000"/>
                <w:szCs w:val="21"/>
              </w:rPr>
            </w:pPr>
            <w:r>
              <w:rPr>
                <w:rFonts w:hint="eastAsia"/>
                <w:color w:val="000000"/>
                <w:szCs w:val="21"/>
              </w:rPr>
              <w:sym w:font="Wingdings" w:char="00FE"/>
            </w:r>
            <w:r>
              <w:rPr>
                <w:rFonts w:hint="eastAsia"/>
                <w:color w:val="000000"/>
                <w:szCs w:val="21"/>
              </w:rPr>
              <w:t>确保质量管理体系实现其预期结果；</w:t>
            </w:r>
          </w:p>
          <w:p>
            <w:pPr>
              <w:rPr>
                <w:color w:val="000000"/>
                <w:szCs w:val="21"/>
              </w:rPr>
            </w:pPr>
            <w:r>
              <w:rPr>
                <w:rFonts w:hint="eastAsia"/>
                <w:color w:val="000000"/>
                <w:szCs w:val="21"/>
              </w:rPr>
              <w:sym w:font="Wingdings" w:char="00FE"/>
            </w:r>
            <w:r>
              <w:rPr>
                <w:rFonts w:hint="eastAsia"/>
                <w:color w:val="000000"/>
                <w:szCs w:val="21"/>
              </w:rPr>
              <w:t>促使员工积极参与、指导和支持他们为质量管理体系的有效性作出贡献；</w:t>
            </w:r>
          </w:p>
          <w:p>
            <w:pPr>
              <w:rPr>
                <w:color w:val="000000"/>
                <w:szCs w:val="21"/>
              </w:rPr>
            </w:pPr>
            <w:r>
              <w:rPr>
                <w:rFonts w:hint="eastAsia"/>
                <w:color w:val="000000"/>
                <w:szCs w:val="21"/>
              </w:rPr>
              <w:sym w:font="Wingdings" w:char="00FE"/>
            </w:r>
            <w:r>
              <w:rPr>
                <w:rFonts w:hint="eastAsia"/>
                <w:color w:val="000000"/>
                <w:szCs w:val="21"/>
              </w:rPr>
              <w:t>推动改进；</w:t>
            </w:r>
          </w:p>
          <w:p>
            <w:pPr>
              <w:rPr>
                <w:color w:val="000000"/>
                <w:szCs w:val="21"/>
              </w:rPr>
            </w:pPr>
            <w:r>
              <w:rPr>
                <w:rFonts w:hint="eastAsia"/>
                <w:color w:val="000000"/>
                <w:szCs w:val="21"/>
              </w:rPr>
              <w:sym w:font="Wingdings" w:char="00FE"/>
            </w:r>
            <w:r>
              <w:rPr>
                <w:rFonts w:hint="eastAsia"/>
                <w:color w:val="000000"/>
                <w:szCs w:val="21"/>
              </w:rPr>
              <w:t>支持其他相关管理者在其职责范围内发挥领导作用。</w:t>
            </w:r>
          </w:p>
          <w:p>
            <w:pPr>
              <w:rPr>
                <w:color w:val="000000"/>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以顾客为关注焦点</w:t>
            </w:r>
          </w:p>
          <w:p/>
        </w:tc>
        <w:tc>
          <w:tcPr>
            <w:tcW w:w="960" w:type="dxa"/>
            <w:vMerge w:val="restart"/>
          </w:tcPr>
          <w:p>
            <w:r>
              <w:rPr>
                <w:rFonts w:hint="eastAsia"/>
              </w:rPr>
              <w:t>Q5.1.2  </w:t>
            </w:r>
          </w:p>
        </w:tc>
        <w:tc>
          <w:tcPr>
            <w:tcW w:w="745" w:type="dxa"/>
          </w:tcPr>
          <w:p>
            <w:r>
              <w:rPr>
                <w:rFonts w:hint="eastAsia"/>
              </w:rPr>
              <w:t>文件名称</w:t>
            </w:r>
          </w:p>
        </w:tc>
        <w:tc>
          <w:tcPr>
            <w:tcW w:w="9259" w:type="dxa"/>
          </w:tcPr>
          <w:p>
            <w:r>
              <w:rPr>
                <w:rFonts w:hint="eastAsia"/>
              </w:rPr>
              <w:t>如：☑管理手册第5.1章</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最高管理者证实其以顾客为关注焦点的领导作用和承诺：</w:t>
            </w:r>
          </w:p>
          <w:p>
            <w:pPr>
              <w:rPr>
                <w:color w:val="000000"/>
                <w:szCs w:val="21"/>
              </w:rPr>
            </w:pPr>
            <w:r>
              <w:rPr>
                <w:rFonts w:hint="eastAsia"/>
              </w:rPr>
              <w:t>☑</w:t>
            </w:r>
            <w:r>
              <w:rPr>
                <w:rFonts w:hint="eastAsia"/>
                <w:color w:val="000000"/>
                <w:szCs w:val="21"/>
              </w:rPr>
              <w:t xml:space="preserve">确定、理解并持续地满足顾客要求以及适用的法律法规要求； </w:t>
            </w:r>
          </w:p>
          <w:p>
            <w:pPr>
              <w:rPr>
                <w:color w:val="000000"/>
                <w:szCs w:val="21"/>
              </w:rPr>
            </w:pPr>
            <w:r>
              <w:rPr>
                <w:rFonts w:hint="eastAsia"/>
              </w:rPr>
              <w:t>☑</w:t>
            </w:r>
            <w:r>
              <w:rPr>
                <w:rFonts w:hint="eastAsia"/>
                <w:color w:val="000000"/>
                <w:szCs w:val="21"/>
              </w:rPr>
              <w:t xml:space="preserve">确定和应对能够影响产品和服务的符合性以及增强顾客满意能力的风险和机遇； </w:t>
            </w:r>
          </w:p>
          <w:p>
            <w:pPr>
              <w:rPr>
                <w:color w:val="000000"/>
                <w:szCs w:val="21"/>
              </w:rPr>
            </w:pPr>
            <w:r>
              <w:rPr>
                <w:rFonts w:hint="eastAsia"/>
              </w:rPr>
              <w:t>☑</w:t>
            </w:r>
            <w:r>
              <w:rPr>
                <w:rFonts w:hint="eastAsia"/>
                <w:color w:val="000000"/>
                <w:szCs w:val="21"/>
              </w:rPr>
              <w:t xml:space="preserve">始终致力于增强顾客满意。 </w:t>
            </w:r>
          </w:p>
          <w:p>
            <w:pPr>
              <w:rPr>
                <w:color w:val="000000"/>
                <w:szCs w:val="21"/>
              </w:rPr>
            </w:pPr>
            <w:r>
              <w:rPr>
                <w:rFonts w:hint="eastAsia"/>
              </w:rPr>
              <w:t>通过的方式——</w:t>
            </w:r>
          </w:p>
          <w:p>
            <w:pPr>
              <w:rPr>
                <w:color w:val="000000"/>
                <w:szCs w:val="21"/>
              </w:rPr>
            </w:pPr>
            <w:r>
              <w:rPr>
                <w:rFonts w:hint="eastAsia"/>
                <w:color w:val="000000"/>
                <w:szCs w:val="21"/>
              </w:rPr>
              <w:t xml:space="preserve"> </w:t>
            </w:r>
            <w:r>
              <w:rPr>
                <w:rFonts w:hint="eastAsia"/>
              </w:rPr>
              <w:t>☑以身作则 ☑建立机制 ☑法规宣传 ☑风险机遇的应对 ☑重视顾客反馈 ☑目标考核 □其他</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方针</w:t>
            </w:r>
          </w:p>
        </w:tc>
        <w:tc>
          <w:tcPr>
            <w:tcW w:w="960" w:type="dxa"/>
            <w:vMerge w:val="restart"/>
          </w:tcPr>
          <w:p>
            <w:r>
              <w:rPr>
                <w:rFonts w:hint="eastAsia"/>
              </w:rPr>
              <w:t>Q5.2  </w:t>
            </w:r>
          </w:p>
        </w:tc>
        <w:tc>
          <w:tcPr>
            <w:tcW w:w="745" w:type="dxa"/>
          </w:tcPr>
          <w:p>
            <w:r>
              <w:rPr>
                <w:rFonts w:hint="eastAsia"/>
              </w:rPr>
              <w:t>文件名称</w:t>
            </w:r>
          </w:p>
        </w:tc>
        <w:tc>
          <w:tcPr>
            <w:tcW w:w="9259" w:type="dxa"/>
          </w:tcPr>
          <w:p>
            <w:r>
              <w:rPr>
                <w:rFonts w:hint="eastAsia"/>
              </w:rPr>
              <w:t>如：☑管理手册第5.2章 ☑质量方针</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u w:val="single"/>
              </w:rPr>
            </w:pPr>
            <w:r>
              <w:rPr>
                <w:rFonts w:hint="eastAsia"/>
                <w:color w:val="000000"/>
                <w:szCs w:val="21"/>
              </w:rPr>
              <w:t xml:space="preserve"> </w:t>
            </w:r>
            <w:r>
              <w:rPr>
                <w:rFonts w:hint="eastAsia"/>
              </w:rPr>
              <w:t>最高管理者制定了文件化的管理体系方针：</w:t>
            </w:r>
          </w:p>
          <w:p>
            <w:pPr>
              <w:ind w:left="480"/>
              <w:rPr>
                <w:u w:val="single"/>
              </w:rPr>
            </w:pPr>
            <w:r>
              <w:rPr>
                <w:rFonts w:hint="eastAsia"/>
                <w:u w:val="single"/>
              </w:rPr>
              <w:t xml:space="preserve">          </w:t>
            </w:r>
            <w:r>
              <w:rPr>
                <w:rFonts w:hint="eastAsia"/>
                <w:szCs w:val="22"/>
                <w:u w:val="single"/>
              </w:rPr>
              <w:t xml:space="preserve"> 规范管理、周到服务、客户满意、持续改进</w:t>
            </w:r>
            <w:r>
              <w:rPr>
                <w:rFonts w:hint="eastAsia"/>
                <w:b/>
                <w:bCs/>
                <w:u w:val="single"/>
              </w:rPr>
              <w:t xml:space="preserve"> </w:t>
            </w:r>
            <w:r>
              <w:rPr>
                <w:rFonts w:hint="eastAsia"/>
                <w:u w:val="single"/>
              </w:rPr>
              <w:t xml:space="preserve">                                                        </w:t>
            </w:r>
          </w:p>
          <w:p>
            <w:r>
              <w:rPr>
                <w:rFonts w:hint="eastAsia"/>
              </w:rPr>
              <w:t>☑适应组织的宗旨和环境并支持其战略方向</w:t>
            </w:r>
          </w:p>
          <w:p>
            <w:pPr>
              <w:rPr>
                <w:lang w:val="en-GB"/>
              </w:rPr>
            </w:pPr>
            <w:r>
              <w:rPr>
                <w:rFonts w:hint="eastAsia"/>
              </w:rPr>
              <w:t>☑</w:t>
            </w:r>
            <w:r>
              <w:rPr>
                <w:rFonts w:hint="eastAsia"/>
                <w:lang w:val="en-GB"/>
              </w:rPr>
              <w:t>质量方针合理恰当并为相应的质量目标提供了框架。</w:t>
            </w:r>
          </w:p>
          <w:p>
            <w:r>
              <w:rPr>
                <w:rFonts w:hint="eastAsia"/>
              </w:rPr>
              <w:t xml:space="preserve">☑包括满足适用要求的承诺； </w:t>
            </w:r>
          </w:p>
          <w:p>
            <w:pPr>
              <w:rPr>
                <w:lang w:val="en-GB"/>
              </w:rPr>
            </w:pPr>
            <w:r>
              <w:rPr>
                <w:rFonts w:hint="eastAsia"/>
              </w:rPr>
              <w:t>☑包括持续改进质量管理体系的承诺</w:t>
            </w:r>
          </w:p>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FE"/>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组织的岗位、职责和权限</w:t>
            </w:r>
          </w:p>
          <w:p/>
        </w:tc>
        <w:tc>
          <w:tcPr>
            <w:tcW w:w="960" w:type="dxa"/>
            <w:vMerge w:val="restart"/>
          </w:tcPr>
          <w:p>
            <w:r>
              <w:rPr>
                <w:rFonts w:hint="eastAsia"/>
              </w:rPr>
              <w:t>Q5.3  </w:t>
            </w:r>
          </w:p>
        </w:tc>
        <w:tc>
          <w:tcPr>
            <w:tcW w:w="745" w:type="dxa"/>
          </w:tcPr>
          <w:p>
            <w:r>
              <w:rPr>
                <w:rFonts w:hint="eastAsia"/>
              </w:rPr>
              <w:t>文件名称</w:t>
            </w:r>
          </w:p>
        </w:tc>
        <w:tc>
          <w:tcPr>
            <w:tcW w:w="9259" w:type="dxa"/>
          </w:tcPr>
          <w:p>
            <w:pPr>
              <w:jc w:val="left"/>
              <w:rPr>
                <w:rFonts w:hint="eastAsia" w:eastAsia="宋体"/>
                <w:lang w:eastAsia="zh-CN"/>
              </w:rPr>
            </w:pPr>
            <w:r>
              <w:rPr>
                <w:rFonts w:hint="eastAsia"/>
              </w:rPr>
              <w:t>如：☑管理手册第5.3章</w:t>
            </w:r>
            <w:r>
              <w:rPr>
                <w:rFonts w:hint="eastAsia"/>
                <w:lang w:eastAsia="zh-CN"/>
              </w:rPr>
              <w:t>，</w:t>
            </w:r>
            <w:r>
              <w:rPr>
                <w:rFonts w:hint="eastAsia"/>
              </w:rPr>
              <w:t>☑</w:t>
            </w:r>
            <w:r>
              <w:rPr>
                <w:rFonts w:hint="eastAsia"/>
                <w:lang w:eastAsia="zh-CN"/>
              </w:rPr>
              <w:t>《</w:t>
            </w:r>
            <w:r>
              <w:rPr>
                <w:rFonts w:hint="eastAsia"/>
                <w:szCs w:val="22"/>
              </w:rPr>
              <w:t>岗位职责及任职要求</w:t>
            </w:r>
            <w:r>
              <w:rPr>
                <w:rFonts w:hint="eastAsia"/>
                <w:lang w:eastAsia="zh-CN"/>
              </w:rPr>
              <w:t>》</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最高管理者确定了组织架构及相关岗位的职责、权限，并进行了全员的沟通和理解；</w:t>
            </w:r>
          </w:p>
          <w:p>
            <w:r>
              <w:rPr>
                <w:rFonts w:hint="eastAsia"/>
              </w:rPr>
              <w:t>如：</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rFonts w:hint="eastAsia" w:eastAsia="宋体"/>
                      <w:lang w:val="en-US" w:eastAsia="zh-CN"/>
                    </w:rPr>
                  </w:pPr>
                  <w:r>
                    <w:rPr>
                      <w:rFonts w:hint="eastAsia"/>
                    </w:rPr>
                    <w:t>过程</w:t>
                  </w:r>
                  <w:r>
                    <w:rPr>
                      <w:rFonts w:hint="eastAsia"/>
                      <w:lang w:val="en-US" w:eastAsia="zh-CN"/>
                    </w:rPr>
                    <w:t>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检验过程</w:t>
                  </w:r>
                </w:p>
              </w:tc>
              <w:tc>
                <w:tcPr>
                  <w:tcW w:w="2261" w:type="dxa"/>
                </w:tcPr>
                <w:p>
                  <w:pPr>
                    <w:rPr>
                      <w:rFonts w:hint="eastAsia" w:eastAsia="宋体"/>
                      <w:lang w:eastAsia="zh-CN"/>
                    </w:rPr>
                  </w:pPr>
                  <w:r>
                    <w:rPr>
                      <w:rFonts w:hint="eastAsia"/>
                      <w:lang w:eastAsia="zh-CN"/>
                    </w:rPr>
                    <w:t>技术部</w:t>
                  </w:r>
                </w:p>
              </w:tc>
              <w:tc>
                <w:tcPr>
                  <w:tcW w:w="2261" w:type="dxa"/>
                </w:tcPr>
                <w:p>
                  <w:r>
                    <w:rPr>
                      <w:rFonts w:hint="eastAsia"/>
                    </w:rPr>
                    <w:t>人力资源管理过程</w:t>
                  </w:r>
                </w:p>
              </w:tc>
              <w:tc>
                <w:tcPr>
                  <w:tcW w:w="2261" w:type="dxa"/>
                </w:tcPr>
                <w:p>
                  <w:pPr>
                    <w:rPr>
                      <w:rFonts w:hint="eastAsia" w:eastAsia="宋体"/>
                      <w:lang w:eastAsia="zh-CN"/>
                    </w:rPr>
                  </w:pP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顾客满意调查分析</w:t>
                  </w:r>
                </w:p>
              </w:tc>
              <w:tc>
                <w:tcPr>
                  <w:tcW w:w="2261" w:type="dxa"/>
                </w:tcPr>
                <w:p>
                  <w:r>
                    <w:rPr>
                      <w:rFonts w:hint="eastAsia"/>
                    </w:rPr>
                    <w:t>供销部</w:t>
                  </w:r>
                </w:p>
              </w:tc>
              <w:tc>
                <w:tcPr>
                  <w:tcW w:w="2261" w:type="dxa"/>
                </w:tcPr>
                <w:p>
                  <w:r>
                    <w:rPr>
                      <w:rFonts w:hint="eastAsia"/>
                    </w:rPr>
                    <w:t>生产/服务提供过程</w:t>
                  </w:r>
                </w:p>
              </w:tc>
              <w:tc>
                <w:tcPr>
                  <w:tcW w:w="2261" w:type="dxa"/>
                </w:tcPr>
                <w:p>
                  <w:pPr>
                    <w:rPr>
                      <w:rFonts w:hint="default" w:eastAsia="宋体"/>
                      <w:lang w:val="en-US" w:eastAsia="zh-CN"/>
                    </w:rPr>
                  </w:pPr>
                  <w:r>
                    <w:rPr>
                      <w:rFonts w:hint="eastAsia"/>
                    </w:rPr>
                    <w:t>生</w:t>
                  </w:r>
                  <w:r>
                    <w:rPr>
                      <w:rFonts w:hint="eastAsia"/>
                      <w:lang w:val="en-US" w:eastAsia="zh-CN"/>
                    </w:rPr>
                    <w:t>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外部供方控制</w:t>
                  </w:r>
                </w:p>
              </w:tc>
              <w:tc>
                <w:tcPr>
                  <w:tcW w:w="2261" w:type="dxa"/>
                </w:tcPr>
                <w:p>
                  <w:r>
                    <w:rPr>
                      <w:rFonts w:hint="eastAsia"/>
                    </w:rPr>
                    <w:t>供销部</w:t>
                  </w:r>
                </w:p>
              </w:tc>
              <w:tc>
                <w:tcPr>
                  <w:tcW w:w="2261" w:type="dxa"/>
                </w:tcPr>
                <w:p>
                  <w:r>
                    <w:rPr>
                      <w:rFonts w:hint="eastAsia"/>
                    </w:rPr>
                    <w:t>生产/服务放行过程</w:t>
                  </w:r>
                </w:p>
              </w:tc>
              <w:tc>
                <w:tcPr>
                  <w:tcW w:w="2261" w:type="dxa"/>
                </w:tcPr>
                <w:p>
                  <w:pPr>
                    <w:rPr>
                      <w:rFonts w:hint="eastAsia" w:eastAsia="宋体"/>
                      <w:lang w:eastAsia="zh-CN"/>
                    </w:rPr>
                  </w:pPr>
                  <w:r>
                    <w:rPr>
                      <w:rFonts w:hint="eastAsia"/>
                      <w:lang w:eastAsia="zh-CN"/>
                    </w:rPr>
                    <w:t>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应对风险和机遇的措施</w:t>
            </w:r>
          </w:p>
          <w:p/>
        </w:tc>
        <w:tc>
          <w:tcPr>
            <w:tcW w:w="960" w:type="dxa"/>
            <w:vMerge w:val="restart"/>
          </w:tcPr>
          <w:p>
            <w:r>
              <w:rPr>
                <w:rFonts w:hint="eastAsia"/>
                <w:color w:val="000000"/>
                <w:szCs w:val="21"/>
              </w:rPr>
              <w:t>Q6.1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w:t>
            </w:r>
            <w:r>
              <w:rPr>
                <w:rFonts w:hint="eastAsia"/>
                <w:color w:val="000000"/>
                <w:szCs w:val="21"/>
              </w:rPr>
              <w:t>应对风险和机遇</w:t>
            </w:r>
            <w:r>
              <w:rPr>
                <w:rFonts w:hint="eastAsia"/>
              </w:rPr>
              <w:t>控制程序》、</w:t>
            </w:r>
            <w:r>
              <w:rPr>
                <w:rFonts w:hint="eastAsia"/>
              </w:rPr>
              <w:sym w:font="Wingdings" w:char="00FE"/>
            </w:r>
            <w:r>
              <w:rPr>
                <w:rFonts w:hint="eastAsia"/>
              </w:rPr>
              <w:t>管理手册第6.1条款</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分析风险的方法：</w:t>
            </w:r>
            <w:r>
              <w:rPr>
                <w:rFonts w:hint="eastAsia"/>
              </w:rPr>
              <w:sym w:font="Wingdings" w:char="00FE"/>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FE"/>
            </w:r>
            <w:r>
              <w:rPr>
                <w:rFonts w:hint="eastAsia"/>
              </w:rPr>
              <w:t>为寻求机遇承担风险、</w:t>
            </w:r>
            <w:r>
              <w:rPr>
                <w:rFonts w:hint="eastAsia"/>
              </w:rPr>
              <w:sym w:font="Wingdings" w:char="00FE"/>
            </w:r>
            <w:r>
              <w:rPr>
                <w:rFonts w:hint="eastAsia"/>
              </w:rPr>
              <w:t xml:space="preserve">消除风险源 </w:t>
            </w:r>
            <w:r>
              <w:rPr>
                <w:rFonts w:hint="eastAsia"/>
              </w:rPr>
              <w:sym w:font="Wingdings" w:char="00FE"/>
            </w:r>
            <w:r>
              <w:rPr>
                <w:rFonts w:hint="eastAsia"/>
              </w:rPr>
              <w:t>改变风险的可能性和后果、</w:t>
            </w:r>
            <w:r>
              <w:rPr>
                <w:rFonts w:hint="eastAsia"/>
              </w:rPr>
              <w:sym w:font="Wingdings" w:char="00FE"/>
            </w:r>
            <w:r>
              <w:rPr>
                <w:rFonts w:hint="eastAsia"/>
              </w:rPr>
              <w:t xml:space="preserve">分担风险 </w:t>
            </w:r>
            <w:r>
              <w:rPr>
                <w:rFonts w:hint="eastAsia"/>
              </w:rPr>
              <w:sym w:font="Wingdings" w:char="00FE"/>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tbl>
            <w:tblPr>
              <w:tblStyle w:val="6"/>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1"/>
              <w:gridCol w:w="5350"/>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91" w:type="dxa"/>
                </w:tcPr>
                <w:p>
                  <w:r>
                    <w:rPr>
                      <w:rFonts w:hint="eastAsia"/>
                    </w:rPr>
                    <w:t>主要的风险描述</w:t>
                  </w:r>
                </w:p>
              </w:tc>
              <w:tc>
                <w:tcPr>
                  <w:tcW w:w="5350" w:type="dxa"/>
                </w:tcPr>
                <w:p>
                  <w:pPr>
                    <w:rPr>
                      <w:szCs w:val="24"/>
                    </w:rPr>
                  </w:pPr>
                  <w:r>
                    <w:rPr>
                      <w:rFonts w:hint="eastAsia"/>
                    </w:rPr>
                    <w:t>应对措施</w:t>
                  </w:r>
                </w:p>
              </w:tc>
              <w:tc>
                <w:tcPr>
                  <w:tcW w:w="988"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tcPr>
                <w:p>
                  <w:pPr>
                    <w:rPr>
                      <w:rFonts w:hint="eastAsia"/>
                    </w:rPr>
                  </w:pPr>
                  <w:r>
                    <w:rPr>
                      <w:rFonts w:hint="eastAsia"/>
                    </w:rPr>
                    <w:t>1、客户要求识别不完整；</w:t>
                  </w:r>
                </w:p>
                <w:p>
                  <w:pPr>
                    <w:rPr>
                      <w:highlight w:val="cyan"/>
                    </w:rPr>
                  </w:pPr>
                  <w:r>
                    <w:rPr>
                      <w:rFonts w:hint="eastAsia"/>
                    </w:rPr>
                    <w:t>2、合同未能确保能够满足要求就签署合同</w:t>
                  </w:r>
                </w:p>
              </w:tc>
              <w:tc>
                <w:tcPr>
                  <w:tcW w:w="5350" w:type="dxa"/>
                </w:tcPr>
                <w:p>
                  <w:pPr>
                    <w:rPr>
                      <w:rFonts w:hint="eastAsia"/>
                    </w:rPr>
                  </w:pPr>
                  <w:r>
                    <w:rPr>
                      <w:rFonts w:hint="eastAsia"/>
                    </w:rPr>
                    <w:t>1、对客户的要求供销部组织相关部门进行识别；</w:t>
                  </w:r>
                </w:p>
                <w:p>
                  <w:pPr>
                    <w:rPr>
                      <w:rFonts w:hint="eastAsia"/>
                    </w:rPr>
                  </w:pPr>
                  <w:r>
                    <w:rPr>
                      <w:rFonts w:hint="eastAsia"/>
                    </w:rPr>
                    <w:t>2、在确定与客户签署合同前落实合同评审事宜。</w:t>
                  </w:r>
                </w:p>
                <w:p>
                  <w:pPr>
                    <w:rPr>
                      <w:highlight w:val="cyan"/>
                    </w:rPr>
                  </w:pPr>
                  <w:r>
                    <w:rPr>
                      <w:rFonts w:hint="eastAsia"/>
                    </w:rPr>
                    <w:t>相关文件：《合同评审控制程序》</w:t>
                  </w:r>
                </w:p>
              </w:tc>
              <w:tc>
                <w:tcPr>
                  <w:tcW w:w="988" w:type="dxa"/>
                </w:tcPr>
                <w:p>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tcPr>
                <w:p>
                  <w:pPr>
                    <w:rPr>
                      <w:rFonts w:hint="eastAsia"/>
                      <w:szCs w:val="24"/>
                    </w:rPr>
                  </w:pPr>
                  <w:r>
                    <w:rPr>
                      <w:rFonts w:hint="eastAsia"/>
                      <w:szCs w:val="24"/>
                    </w:rPr>
                    <w:t>1、来料批量不良未检出；</w:t>
                  </w:r>
                </w:p>
                <w:p>
                  <w:pPr>
                    <w:rPr>
                      <w:rFonts w:hint="eastAsia"/>
                      <w:szCs w:val="24"/>
                    </w:rPr>
                  </w:pPr>
                  <w:r>
                    <w:rPr>
                      <w:rFonts w:hint="eastAsia"/>
                      <w:szCs w:val="24"/>
                    </w:rPr>
                    <w:t>2、过程批量不良；</w:t>
                  </w:r>
                </w:p>
                <w:p>
                  <w:pPr>
                    <w:rPr>
                      <w:szCs w:val="24"/>
                    </w:rPr>
                  </w:pPr>
                  <w:r>
                    <w:rPr>
                      <w:rFonts w:hint="eastAsia"/>
                      <w:szCs w:val="24"/>
                    </w:rPr>
                    <w:t>3、不良品流出至客户端；</w:t>
                  </w:r>
                </w:p>
              </w:tc>
              <w:tc>
                <w:tcPr>
                  <w:tcW w:w="5350" w:type="dxa"/>
                </w:tcPr>
                <w:p>
                  <w:pPr>
                    <w:rPr>
                      <w:rFonts w:hint="eastAsia"/>
                    </w:rPr>
                  </w:pPr>
                  <w:r>
                    <w:rPr>
                      <w:rFonts w:hint="eastAsia"/>
                    </w:rPr>
                    <w:t>1、进货检验指导书，规定抽样方案和接收、判退规定；</w:t>
                  </w:r>
                </w:p>
                <w:p>
                  <w:pPr>
                    <w:rPr>
                      <w:rFonts w:hint="eastAsia"/>
                    </w:rPr>
                  </w:pPr>
                  <w:r>
                    <w:rPr>
                      <w:rFonts w:hint="eastAsia"/>
                    </w:rPr>
                    <w:t>2、工艺文件规定首巡末检验制度，执行首巡末检验记录；</w:t>
                  </w:r>
                </w:p>
                <w:p>
                  <w:pPr>
                    <w:rPr>
                      <w:rFonts w:hint="eastAsia"/>
                    </w:rPr>
                  </w:pPr>
                  <w:r>
                    <w:rPr>
                      <w:rFonts w:hint="eastAsia"/>
                    </w:rPr>
                    <w:t>3、成品检验指导书，规定抽样方案和接收、判退规定；</w:t>
                  </w:r>
                </w:p>
                <w:p>
                  <w:r>
                    <w:rPr>
                      <w:rFonts w:hint="eastAsia"/>
                    </w:rPr>
                    <w:t>相关文件：《检验和试验控制程序》</w:t>
                  </w:r>
                </w:p>
              </w:tc>
              <w:tc>
                <w:tcPr>
                  <w:tcW w:w="988" w:type="dxa"/>
                </w:tcPr>
                <w:p>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tcPr>
                <w:p>
                  <w:pPr>
                    <w:rPr>
                      <w:rFonts w:hint="eastAsia"/>
                      <w:szCs w:val="24"/>
                    </w:rPr>
                  </w:pPr>
                  <w:r>
                    <w:rPr>
                      <w:rFonts w:hint="eastAsia"/>
                      <w:szCs w:val="24"/>
                    </w:rPr>
                    <w:t>1、生产计划编制不合理，导致无法按时交货，延误产品交付。</w:t>
                  </w:r>
                </w:p>
                <w:p>
                  <w:pPr>
                    <w:rPr>
                      <w:rFonts w:hint="eastAsia"/>
                      <w:szCs w:val="24"/>
                    </w:rPr>
                  </w:pPr>
                  <w:r>
                    <w:rPr>
                      <w:rFonts w:hint="eastAsia"/>
                      <w:szCs w:val="24"/>
                    </w:rPr>
                    <w:t>2、生产不能准时完成计划；</w:t>
                  </w:r>
                </w:p>
                <w:p>
                  <w:pPr>
                    <w:rPr>
                      <w:rFonts w:hint="eastAsia"/>
                      <w:szCs w:val="24"/>
                    </w:rPr>
                  </w:pPr>
                  <w:r>
                    <w:rPr>
                      <w:rFonts w:hint="eastAsia"/>
                      <w:szCs w:val="24"/>
                    </w:rPr>
                    <w:t>3、不良率过高</w:t>
                  </w:r>
                </w:p>
                <w:p>
                  <w:pPr>
                    <w:rPr>
                      <w:szCs w:val="24"/>
                    </w:rPr>
                  </w:pPr>
                  <w:r>
                    <w:rPr>
                      <w:rFonts w:hint="eastAsia"/>
                      <w:szCs w:val="24"/>
                    </w:rPr>
                    <w:t>4、标识不清，导致混料</w:t>
                  </w:r>
                </w:p>
              </w:tc>
              <w:tc>
                <w:tcPr>
                  <w:tcW w:w="5350" w:type="dxa"/>
                </w:tcPr>
                <w:p>
                  <w:pPr>
                    <w:rPr>
                      <w:rFonts w:hint="eastAsia"/>
                    </w:rPr>
                  </w:pPr>
                  <w:r>
                    <w:rPr>
                      <w:rFonts w:hint="eastAsia"/>
                    </w:rPr>
                    <w:t>1、公司产能研究，合理安排生产计划；销售人员每日全称跟踪生产计划的进度；</w:t>
                  </w:r>
                </w:p>
                <w:p>
                  <w:pPr>
                    <w:rPr>
                      <w:rFonts w:hint="eastAsia"/>
                    </w:rPr>
                  </w:pPr>
                  <w:r>
                    <w:rPr>
                      <w:rFonts w:hint="eastAsia"/>
                    </w:rPr>
                    <w:t>2、制定安全库存；</w:t>
                  </w:r>
                </w:p>
                <w:p>
                  <w:pPr>
                    <w:rPr>
                      <w:rFonts w:hint="eastAsia"/>
                    </w:rPr>
                  </w:pPr>
                  <w:r>
                    <w:rPr>
                      <w:rFonts w:hint="eastAsia"/>
                    </w:rPr>
                    <w:t>3、不良率指标监控，及时采用纠正预防措施；</w:t>
                  </w:r>
                </w:p>
                <w:p>
                  <w:pPr>
                    <w:rPr>
                      <w:rFonts w:hint="eastAsia"/>
                    </w:rPr>
                  </w:pPr>
                  <w:r>
                    <w:rPr>
                      <w:rFonts w:hint="eastAsia"/>
                    </w:rPr>
                    <w:t>4、产品执行批次和标识管理；</w:t>
                  </w:r>
                </w:p>
                <w:p>
                  <w:r>
                    <w:rPr>
                      <w:rFonts w:hint="eastAsia"/>
                    </w:rPr>
                    <w:t>相关文件：《生产过程控制程序》；《产品标识和可追溯性控制程序》；《不合格品控制程序》</w:t>
                  </w:r>
                </w:p>
              </w:tc>
              <w:tc>
                <w:tcPr>
                  <w:tcW w:w="988" w:type="dxa"/>
                </w:tcPr>
                <w:p>
                  <w:r>
                    <w:rPr>
                      <w:rFonts w:hint="eastAsia"/>
                    </w:rPr>
                    <w:sym w:font="Wingdings" w:char="00FE"/>
                  </w:r>
                  <w:r>
                    <w:rPr>
                      <w:rFonts w:hint="eastAsia"/>
                    </w:rPr>
                    <w:t>有效</w:t>
                  </w:r>
                  <w:r>
                    <w:rPr>
                      <w:rFonts w:hint="eastAsia"/>
                    </w:rPr>
                    <w:sym w:font="Wingdings" w:char="00A8"/>
                  </w:r>
                  <w:r>
                    <w:rPr>
                      <w:rFonts w:hint="eastAsia"/>
                    </w:rPr>
                    <w:t>不足</w:t>
                  </w:r>
                </w:p>
              </w:tc>
            </w:tr>
          </w:tbl>
          <w:p/>
          <w:p>
            <w:r>
              <w:rPr>
                <w:rFonts w:hint="eastAsia"/>
              </w:rPr>
              <w:t xml:space="preserve">应对机遇的措施类型包括： </w:t>
            </w:r>
          </w:p>
          <w:p>
            <w:r>
              <w:rPr>
                <w:rFonts w:hint="eastAsia"/>
              </w:rPr>
              <w:sym w:font="Wingdings" w:char="00FE"/>
            </w:r>
            <w:r>
              <w:rPr>
                <w:rFonts w:hint="eastAsia"/>
              </w:rPr>
              <w:t xml:space="preserve">采用新实践 </w:t>
            </w:r>
            <w:r>
              <w:rPr>
                <w:rFonts w:hint="eastAsia"/>
              </w:rPr>
              <w:sym w:font="Wingdings" w:char="00FE"/>
            </w:r>
            <w:r>
              <w:rPr>
                <w:rFonts w:hint="eastAsia"/>
              </w:rPr>
              <w:t xml:space="preserve">推出新产品  </w:t>
            </w:r>
            <w:r>
              <w:rPr>
                <w:rFonts w:hint="eastAsia"/>
              </w:rPr>
              <w:sym w:font="Wingdings" w:char="00FE"/>
            </w:r>
            <w:r>
              <w:rPr>
                <w:rFonts w:hint="eastAsia"/>
              </w:rPr>
              <w:t xml:space="preserve">开辟新市场  </w:t>
            </w:r>
            <w:r>
              <w:rPr>
                <w:rFonts w:hint="eastAsia"/>
              </w:rPr>
              <w:sym w:font="Wingdings" w:char="00FE"/>
            </w:r>
            <w:r>
              <w:rPr>
                <w:rFonts w:hint="eastAsia"/>
              </w:rPr>
              <w:t xml:space="preserve">赢得新顾客  </w:t>
            </w:r>
            <w:r>
              <w:rPr>
                <w:rFonts w:hint="eastAsia"/>
              </w:rPr>
              <w:sym w:font="Wingdings" w:char="00A8"/>
            </w:r>
            <w:r>
              <w:rPr>
                <w:rFonts w:hint="eastAsia"/>
              </w:rPr>
              <w:t xml:space="preserve">建立合作伙伴关系  </w:t>
            </w:r>
            <w:r>
              <w:rPr>
                <w:rFonts w:hint="eastAsia"/>
              </w:rPr>
              <w:sym w:font="Wingdings" w:char="00FE"/>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6"/>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0"/>
              <w:gridCol w:w="367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color w:val="auto"/>
                    </w:rPr>
                  </w:pPr>
                  <w:r>
                    <w:rPr>
                      <w:rFonts w:hint="eastAsia"/>
                      <w:color w:val="auto"/>
                    </w:rPr>
                    <w:t>主要的机遇描述</w:t>
                  </w:r>
                </w:p>
              </w:tc>
              <w:tc>
                <w:tcPr>
                  <w:tcW w:w="3675" w:type="dxa"/>
                </w:tcPr>
                <w:p>
                  <w:pPr>
                    <w:rPr>
                      <w:color w:val="auto"/>
                      <w:szCs w:val="24"/>
                    </w:rPr>
                  </w:pPr>
                  <w:r>
                    <w:rPr>
                      <w:rFonts w:hint="eastAsia"/>
                      <w:color w:val="auto"/>
                    </w:rPr>
                    <w:t>应对措施</w:t>
                  </w:r>
                </w:p>
              </w:tc>
              <w:tc>
                <w:tcPr>
                  <w:tcW w:w="1717" w:type="dxa"/>
                </w:tcPr>
                <w:p>
                  <w:pPr>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color w:val="auto"/>
                      <w:highlight w:val="cyan"/>
                    </w:rPr>
                  </w:pPr>
                  <w:r>
                    <w:rPr>
                      <w:rFonts w:hint="eastAsia" w:ascii="宋体" w:hAnsi="宋体" w:cs="宋体"/>
                      <w:color w:val="auto"/>
                      <w:sz w:val="18"/>
                      <w:szCs w:val="18"/>
                    </w:rPr>
                    <w:t>本公司购置的设备精度和性能均处领先水平，维护保养好</w:t>
                  </w:r>
                </w:p>
              </w:tc>
              <w:tc>
                <w:tcPr>
                  <w:tcW w:w="3675" w:type="dxa"/>
                </w:tcPr>
                <w:p>
                  <w:pPr>
                    <w:rPr>
                      <w:color w:val="auto"/>
                    </w:rPr>
                  </w:pPr>
                  <w:r>
                    <w:rPr>
                      <w:rFonts w:hint="eastAsia" w:ascii="宋体" w:hAnsi="宋体" w:cs="宋体"/>
                      <w:color w:val="auto"/>
                      <w:sz w:val="18"/>
                      <w:szCs w:val="18"/>
                    </w:rPr>
                    <w:t>加强维护保养，确保设备的性能和精度长期稳定</w:t>
                  </w:r>
                </w:p>
              </w:tc>
              <w:tc>
                <w:tcPr>
                  <w:tcW w:w="1717" w:type="dxa"/>
                </w:tcPr>
                <w:p>
                  <w:pPr>
                    <w:rPr>
                      <w:color w:val="auto"/>
                    </w:rPr>
                  </w:pPr>
                  <w:r>
                    <w:rPr>
                      <w:rFonts w:hint="eastAsia"/>
                      <w:color w:val="auto"/>
                    </w:rPr>
                    <w:sym w:font="Wingdings" w:char="00FE"/>
                  </w:r>
                  <w:r>
                    <w:rPr>
                      <w:rFonts w:hint="eastAsia"/>
                      <w:color w:val="auto"/>
                    </w:rPr>
                    <w:t>有效</w:t>
                  </w:r>
                  <w:r>
                    <w:rPr>
                      <w:rFonts w:hint="eastAsia"/>
                      <w:color w:val="auto"/>
                    </w:rPr>
                    <w:sym w:font="Wingdings" w:char="00A8"/>
                  </w:r>
                  <w:r>
                    <w:rPr>
                      <w:rFonts w:hint="eastAsia"/>
                      <w:color w:val="auto"/>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color w:val="auto"/>
                      <w:szCs w:val="24"/>
                    </w:rPr>
                  </w:pPr>
                  <w:r>
                    <w:rPr>
                      <w:rFonts w:hint="eastAsia" w:ascii="宋体" w:hAnsi="宋体" w:cs="宋体"/>
                      <w:color w:val="auto"/>
                      <w:sz w:val="18"/>
                      <w:szCs w:val="18"/>
                    </w:rPr>
                    <w:t>行业生产环境的变化，给公司带来新的发展机遇</w:t>
                  </w:r>
                </w:p>
              </w:tc>
              <w:tc>
                <w:tcPr>
                  <w:tcW w:w="3675" w:type="dxa"/>
                </w:tcPr>
                <w:p>
                  <w:pPr>
                    <w:rPr>
                      <w:color w:val="auto"/>
                    </w:rPr>
                  </w:pPr>
                  <w:r>
                    <w:rPr>
                      <w:rFonts w:hint="eastAsia" w:ascii="宋体" w:hAnsi="宋体" w:cs="宋体"/>
                      <w:color w:val="auto"/>
                      <w:sz w:val="18"/>
                      <w:szCs w:val="18"/>
                    </w:rPr>
                    <w:t>各级部门严格按照公司的规章制度开展相关工作</w:t>
                  </w:r>
                </w:p>
              </w:tc>
              <w:tc>
                <w:tcPr>
                  <w:tcW w:w="1717" w:type="dxa"/>
                </w:tcPr>
                <w:p>
                  <w:pPr>
                    <w:rPr>
                      <w:color w:val="auto"/>
                    </w:rPr>
                  </w:pPr>
                  <w:r>
                    <w:rPr>
                      <w:rFonts w:hint="eastAsia"/>
                      <w:color w:val="auto"/>
                    </w:rPr>
                    <w:sym w:font="Wingdings" w:char="00FE"/>
                  </w:r>
                  <w:r>
                    <w:rPr>
                      <w:rFonts w:hint="eastAsia"/>
                      <w:color w:val="auto"/>
                    </w:rPr>
                    <w:t>有效</w:t>
                  </w:r>
                  <w:r>
                    <w:rPr>
                      <w:rFonts w:hint="eastAsia"/>
                      <w:color w:val="auto"/>
                    </w:rPr>
                    <w:sym w:font="Wingdings" w:char="00A8"/>
                  </w:r>
                  <w:r>
                    <w:rPr>
                      <w:rFonts w:hint="eastAsia"/>
                      <w:color w:val="auto"/>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color w:val="auto"/>
                      <w:szCs w:val="24"/>
                    </w:rPr>
                  </w:pPr>
                </w:p>
              </w:tc>
              <w:tc>
                <w:tcPr>
                  <w:tcW w:w="3675" w:type="dxa"/>
                </w:tcPr>
                <w:p>
                  <w:pPr>
                    <w:rPr>
                      <w:color w:val="auto"/>
                    </w:rPr>
                  </w:pPr>
                </w:p>
              </w:tc>
              <w:tc>
                <w:tcPr>
                  <w:tcW w:w="1717" w:type="dxa"/>
                </w:tcPr>
                <w:p>
                  <w:pPr>
                    <w:rPr>
                      <w:color w:val="auto"/>
                    </w:rPr>
                  </w:pPr>
                  <w:r>
                    <w:rPr>
                      <w:rFonts w:hint="eastAsia"/>
                      <w:color w:val="auto"/>
                    </w:rPr>
                    <w:sym w:font="Wingdings" w:char="00A8"/>
                  </w:r>
                  <w:r>
                    <w:rPr>
                      <w:rFonts w:hint="eastAsia"/>
                      <w:color w:val="auto"/>
                    </w:rPr>
                    <w:t>有效</w:t>
                  </w:r>
                  <w:r>
                    <w:rPr>
                      <w:rFonts w:hint="eastAsia"/>
                      <w:color w:val="auto"/>
                    </w:rPr>
                    <w:sym w:font="Wingdings" w:char="00A8"/>
                  </w:r>
                  <w:r>
                    <w:rPr>
                      <w:rFonts w:hint="eastAsia"/>
                      <w:color w:val="auto"/>
                    </w:rPr>
                    <w:t>不足</w:t>
                  </w:r>
                </w:p>
              </w:tc>
            </w:tr>
          </w:tbl>
          <w:p>
            <w:pPr>
              <w:rPr>
                <w:color w:val="auto"/>
              </w:rPr>
            </w:pPr>
          </w:p>
          <w:p>
            <w:r>
              <w:rPr>
                <w:rFonts w:hint="eastAsia"/>
                <w:color w:val="auto"/>
              </w:rPr>
              <w:t>查看</w:t>
            </w:r>
            <w:r>
              <w:rPr>
                <w:rFonts w:hint="eastAsia"/>
                <w:color w:val="auto"/>
              </w:rPr>
              <w:sym w:font="Wingdings" w:char="00FE"/>
            </w:r>
            <w:r>
              <w:rPr>
                <w:rFonts w:hint="eastAsia"/>
                <w:color w:val="auto"/>
              </w:rPr>
              <w:t>《风险和机遇分析表》</w:t>
            </w:r>
            <w:r>
              <w:rPr>
                <w:rFonts w:hint="eastAsia"/>
                <w:color w:val="auto"/>
              </w:rPr>
              <w:sym w:font="Wingdings" w:char="00FE"/>
            </w:r>
            <w:r>
              <w:rPr>
                <w:rFonts w:hint="eastAsia"/>
                <w:color w:val="auto"/>
              </w:rPr>
              <w:t>《</w:t>
            </w:r>
            <w:r>
              <w:rPr>
                <w:rFonts w:hint="eastAsia"/>
                <w:color w:val="auto"/>
                <w:lang w:val="en-US" w:eastAsia="zh-CN"/>
              </w:rPr>
              <w:t>过程</w:t>
            </w:r>
            <w:r>
              <w:rPr>
                <w:rFonts w:hint="eastAsia"/>
                <w:color w:val="auto"/>
              </w:rPr>
              <w:t>风险与机遇评价与应对策划表》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质量目标及其实现的策划</w:t>
            </w:r>
          </w:p>
          <w:p/>
        </w:tc>
        <w:tc>
          <w:tcPr>
            <w:tcW w:w="960" w:type="dxa"/>
            <w:vMerge w:val="restart"/>
          </w:tcPr>
          <w:p>
            <w:r>
              <w:rPr>
                <w:rFonts w:hint="eastAsia"/>
                <w:color w:val="000000"/>
                <w:szCs w:val="21"/>
              </w:rPr>
              <w:t>Q6.2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w:t>
            </w:r>
            <w:r>
              <w:rPr>
                <w:rFonts w:hint="eastAsia"/>
                <w:color w:val="000000"/>
                <w:szCs w:val="21"/>
              </w:rPr>
              <w:t>质量目标</w:t>
            </w:r>
            <w:r>
              <w:rPr>
                <w:rFonts w:hint="eastAsia"/>
              </w:rPr>
              <w:t>》、</w:t>
            </w:r>
            <w:r>
              <w:rPr>
                <w:rFonts w:hint="eastAsia"/>
              </w:rPr>
              <w:sym w:font="Wingdings" w:char="00FE"/>
            </w:r>
            <w:r>
              <w:rPr>
                <w:rFonts w:hint="eastAsia"/>
              </w:rPr>
              <w:t>《</w:t>
            </w:r>
            <w:r>
              <w:rPr>
                <w:rFonts w:hint="eastAsia"/>
                <w:lang w:val="en-US" w:eastAsia="zh-CN"/>
              </w:rPr>
              <w:t>2021 ~2022年</w:t>
            </w:r>
            <w:r>
              <w:rPr>
                <w:rFonts w:hint="eastAsia"/>
              </w:rPr>
              <w:t>目标完成统计表》</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组织建立了与方针一致的文件化的管理目标。为实现总质量目标而建立的各层级质量目标具体、有针对性、可测量并且可实现。</w:t>
            </w:r>
          </w:p>
          <w:p>
            <w:r>
              <w:rPr>
                <w:rFonts w:hint="eastAsia"/>
              </w:rPr>
              <w:t>总质量目标实现情况的评价，及其测量方法是：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913"/>
              <w:gridCol w:w="2350"/>
              <w:gridCol w:w="650"/>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szCs w:val="22"/>
                    </w:rPr>
                  </w:pPr>
                  <w:r>
                    <w:rPr>
                      <w:rFonts w:hint="eastAsia"/>
                      <w:szCs w:val="22"/>
                    </w:rPr>
                    <w:t>质量目标</w:t>
                  </w:r>
                </w:p>
              </w:tc>
              <w:tc>
                <w:tcPr>
                  <w:tcW w:w="913" w:type="dxa"/>
                  <w:shd w:val="clear" w:color="auto" w:fill="auto"/>
                </w:tcPr>
                <w:p>
                  <w:pPr>
                    <w:rPr>
                      <w:rFonts w:hint="eastAsia"/>
                      <w:szCs w:val="22"/>
                    </w:rPr>
                  </w:pPr>
                  <w:r>
                    <w:rPr>
                      <w:rFonts w:hint="eastAsia"/>
                      <w:szCs w:val="22"/>
                    </w:rPr>
                    <w:t>目标值</w:t>
                  </w:r>
                </w:p>
              </w:tc>
              <w:tc>
                <w:tcPr>
                  <w:tcW w:w="2350" w:type="dxa"/>
                  <w:shd w:val="clear" w:color="auto" w:fill="auto"/>
                </w:tcPr>
                <w:p>
                  <w:pPr>
                    <w:rPr>
                      <w:rFonts w:hint="eastAsia"/>
                      <w:szCs w:val="22"/>
                    </w:rPr>
                  </w:pPr>
                  <w:r>
                    <w:rPr>
                      <w:rFonts w:hint="eastAsia"/>
                      <w:szCs w:val="22"/>
                    </w:rPr>
                    <w:t>计算方法</w:t>
                  </w:r>
                </w:p>
              </w:tc>
              <w:tc>
                <w:tcPr>
                  <w:tcW w:w="650" w:type="dxa"/>
                  <w:shd w:val="clear" w:color="auto" w:fill="auto"/>
                </w:tcPr>
                <w:p>
                  <w:pPr>
                    <w:rPr>
                      <w:rFonts w:hint="eastAsia"/>
                      <w:szCs w:val="22"/>
                    </w:rPr>
                  </w:pPr>
                  <w:r>
                    <w:rPr>
                      <w:rFonts w:hint="eastAsia"/>
                      <w:szCs w:val="22"/>
                    </w:rPr>
                    <w:t>频次</w:t>
                  </w:r>
                </w:p>
              </w:tc>
              <w:tc>
                <w:tcPr>
                  <w:tcW w:w="2923" w:type="dxa"/>
                  <w:shd w:val="clear" w:color="auto" w:fill="auto"/>
                </w:tcPr>
                <w:p>
                  <w:pPr>
                    <w:rPr>
                      <w:rFonts w:hint="eastAsia"/>
                      <w:szCs w:val="22"/>
                    </w:rPr>
                  </w:pPr>
                  <w:r>
                    <w:rPr>
                      <w:rFonts w:hint="eastAsia"/>
                      <w:szCs w:val="22"/>
                    </w:rPr>
                    <w:t>202</w:t>
                  </w:r>
                  <w:r>
                    <w:rPr>
                      <w:rFonts w:hint="eastAsia"/>
                      <w:szCs w:val="22"/>
                      <w:lang w:val="en-US" w:eastAsia="zh-CN"/>
                    </w:rPr>
                    <w:t>1</w:t>
                  </w:r>
                  <w:r>
                    <w:rPr>
                      <w:rFonts w:hint="eastAsia"/>
                      <w:szCs w:val="22"/>
                    </w:rPr>
                    <w:t>年</w:t>
                  </w:r>
                  <w:r>
                    <w:rPr>
                      <w:rFonts w:hint="eastAsia"/>
                      <w:szCs w:val="22"/>
                      <w:lang w:val="en-US" w:eastAsia="zh-CN"/>
                    </w:rPr>
                    <w:t>4</w:t>
                  </w:r>
                  <w:r>
                    <w:rPr>
                      <w:rFonts w:hint="eastAsia"/>
                      <w:szCs w:val="22"/>
                    </w:rPr>
                    <w:t>月</w:t>
                  </w:r>
                  <w:r>
                    <w:rPr>
                      <w:rFonts w:hint="eastAsia"/>
                      <w:szCs w:val="22"/>
                      <w:lang w:val="en-US" w:eastAsia="zh-CN"/>
                    </w:rPr>
                    <w:t>至2022年3月</w:t>
                  </w:r>
                  <w:r>
                    <w:rPr>
                      <w:rFonts w:hint="eastAsia"/>
                      <w:szCs w:val="22"/>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4"/>
                    <w:pBdr>
                      <w:bottom w:val="none" w:color="auto" w:sz="0" w:space="0"/>
                    </w:pBdr>
                    <w:tabs>
                      <w:tab w:val="left" w:pos="420"/>
                    </w:tabs>
                    <w:spacing w:line="240" w:lineRule="exact"/>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产品一次交验合格率</w:t>
                  </w:r>
                </w:p>
              </w:tc>
              <w:tc>
                <w:tcPr>
                  <w:tcW w:w="913" w:type="dxa"/>
                  <w:shd w:val="clear" w:color="auto" w:fill="auto"/>
                  <w:vAlign w:val="center"/>
                </w:tcPr>
                <w:p>
                  <w:pPr>
                    <w:pStyle w:val="4"/>
                    <w:pBdr>
                      <w:bottom w:val="none" w:color="auto" w:sz="0" w:space="0"/>
                    </w:pBdr>
                    <w:tabs>
                      <w:tab w:val="left" w:pos="420"/>
                    </w:tabs>
                    <w:spacing w:line="240" w:lineRule="exact"/>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≥98%</w:t>
                  </w:r>
                </w:p>
              </w:tc>
              <w:tc>
                <w:tcPr>
                  <w:tcW w:w="2350" w:type="dxa"/>
                  <w:shd w:val="clear" w:color="auto" w:fill="auto"/>
                  <w:vAlign w:val="center"/>
                </w:tcPr>
                <w:p>
                  <w:pPr>
                    <w:spacing w:line="360" w:lineRule="exact"/>
                    <w:ind w:left="210" w:leftChars="0" w:hanging="210" w:hangingChars="100"/>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合格数/交付数×100%</w:t>
                  </w:r>
                </w:p>
              </w:tc>
              <w:tc>
                <w:tcPr>
                  <w:tcW w:w="650" w:type="dxa"/>
                  <w:shd w:val="clear" w:color="auto" w:fill="auto"/>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每月</w:t>
                  </w:r>
                </w:p>
              </w:tc>
              <w:tc>
                <w:tcPr>
                  <w:tcW w:w="2923" w:type="dxa"/>
                  <w:shd w:val="clear" w:color="auto" w:fill="auto"/>
                </w:tcPr>
                <w:p>
                  <w:pPr>
                    <w:rPr>
                      <w:rFonts w:hint="eastAsia" w:ascii="Times New Roman" w:hAnsi="Times New Roman" w:eastAsia="宋体" w:cs="Times New Roman"/>
                      <w:kern w:val="2"/>
                      <w:sz w:val="21"/>
                      <w:szCs w:val="22"/>
                      <w:lang w:val="en-GB" w:eastAsia="zh-CN" w:bidi="ar-SA"/>
                    </w:rPr>
                  </w:pPr>
                  <w:r>
                    <w:rPr>
                      <w:rFonts w:hint="eastAsia" w:ascii="Times New Roman" w:hAnsi="Times New Roman" w:eastAsia="宋体" w:cs="Times New Roman"/>
                      <w:kern w:val="2"/>
                      <w:sz w:val="21"/>
                      <w:szCs w:val="22"/>
                      <w:lang w:val="en-US" w:eastAsia="zh-CN" w:bidi="ar-SA"/>
                    </w:rPr>
                    <w:sym w:font="Wingdings" w:char="00FE"/>
                  </w:r>
                  <w:r>
                    <w:rPr>
                      <w:rFonts w:hint="eastAsia" w:ascii="Times New Roman" w:hAnsi="Times New Roman" w:eastAsia="宋体" w:cs="Times New Roman"/>
                      <w:kern w:val="2"/>
                      <w:sz w:val="21"/>
                      <w:szCs w:val="22"/>
                      <w:lang w:val="en-US" w:eastAsia="zh-CN" w:bidi="ar-SA"/>
                    </w:rPr>
                    <w:t xml:space="preserve">是 </w:t>
                  </w:r>
                  <w:r>
                    <w:rPr>
                      <w:rFonts w:hint="eastAsia" w:ascii="Times New Roman" w:hAnsi="Times New Roman" w:eastAsia="宋体" w:cs="Times New Roman"/>
                      <w:kern w:val="2"/>
                      <w:sz w:val="21"/>
                      <w:szCs w:val="22"/>
                      <w:lang w:val="en-US" w:eastAsia="zh-CN" w:bidi="ar-SA"/>
                    </w:rPr>
                    <w:sym w:font="Wingdings" w:char="00A8"/>
                  </w:r>
                  <w:r>
                    <w:rPr>
                      <w:rFonts w:hint="eastAsia" w:ascii="Times New Roman" w:hAnsi="Times New Roman" w:eastAsia="宋体" w:cs="Times New Roman"/>
                      <w:kern w:val="2"/>
                      <w:sz w:val="21"/>
                      <w:szCs w:val="22"/>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4"/>
                    <w:pBdr>
                      <w:bottom w:val="none" w:color="auto" w:sz="0" w:space="0"/>
                    </w:pBdr>
                    <w:tabs>
                      <w:tab w:val="left" w:pos="420"/>
                    </w:tabs>
                    <w:spacing w:line="240" w:lineRule="exact"/>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顾客满意</w:t>
                  </w:r>
                </w:p>
              </w:tc>
              <w:tc>
                <w:tcPr>
                  <w:tcW w:w="913" w:type="dxa"/>
                  <w:shd w:val="clear" w:color="auto" w:fill="auto"/>
                  <w:vAlign w:val="center"/>
                </w:tcPr>
                <w:p>
                  <w:pPr>
                    <w:pStyle w:val="4"/>
                    <w:pBdr>
                      <w:bottom w:val="none" w:color="auto" w:sz="0" w:space="0"/>
                    </w:pBdr>
                    <w:tabs>
                      <w:tab w:val="left" w:pos="420"/>
                    </w:tabs>
                    <w:spacing w:line="240" w:lineRule="exact"/>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≥90分</w:t>
                  </w:r>
                </w:p>
              </w:tc>
              <w:tc>
                <w:tcPr>
                  <w:tcW w:w="2350" w:type="dxa"/>
                  <w:shd w:val="clear" w:color="auto" w:fill="auto"/>
                  <w:vAlign w:val="center"/>
                </w:tcPr>
                <w:p>
                  <w:pPr>
                    <w:spacing w:line="360" w:lineRule="exact"/>
                    <w:ind w:left="210" w:leftChars="0" w:hanging="210" w:hangingChars="100"/>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数据统计分析</w:t>
                  </w:r>
                </w:p>
              </w:tc>
              <w:tc>
                <w:tcPr>
                  <w:tcW w:w="650" w:type="dxa"/>
                  <w:shd w:val="clear" w:color="auto" w:fill="auto"/>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每</w:t>
                  </w:r>
                  <w:r>
                    <w:rPr>
                      <w:rFonts w:hint="eastAsia" w:cs="Times New Roman"/>
                      <w:kern w:val="2"/>
                      <w:sz w:val="21"/>
                      <w:szCs w:val="22"/>
                      <w:lang w:val="en-US" w:eastAsia="zh-CN" w:bidi="ar-SA"/>
                    </w:rPr>
                    <w:t>年</w:t>
                  </w:r>
                </w:p>
              </w:tc>
              <w:tc>
                <w:tcPr>
                  <w:tcW w:w="2923" w:type="dxa"/>
                  <w:shd w:val="clear" w:color="auto" w:fill="auto"/>
                </w:tcPr>
                <w:p>
                  <w:pPr>
                    <w:rPr>
                      <w:rFonts w:hint="eastAsia" w:ascii="Times New Roman" w:hAnsi="Times New Roman" w:eastAsia="宋体" w:cs="Times New Roman"/>
                      <w:kern w:val="2"/>
                      <w:sz w:val="21"/>
                      <w:szCs w:val="22"/>
                      <w:lang w:val="en-GB" w:eastAsia="zh-CN" w:bidi="ar-SA"/>
                    </w:rPr>
                  </w:pPr>
                  <w:r>
                    <w:rPr>
                      <w:rFonts w:hint="eastAsia" w:ascii="Times New Roman" w:hAnsi="Times New Roman" w:eastAsia="宋体" w:cs="Times New Roman"/>
                      <w:kern w:val="2"/>
                      <w:sz w:val="21"/>
                      <w:szCs w:val="22"/>
                      <w:lang w:val="en-US" w:eastAsia="zh-CN" w:bidi="ar-SA"/>
                    </w:rPr>
                    <w:sym w:font="Wingdings" w:char="00FE"/>
                  </w:r>
                  <w:r>
                    <w:rPr>
                      <w:rFonts w:hint="eastAsia" w:ascii="Times New Roman" w:hAnsi="Times New Roman" w:eastAsia="宋体" w:cs="Times New Roman"/>
                      <w:kern w:val="2"/>
                      <w:sz w:val="21"/>
                      <w:szCs w:val="22"/>
                      <w:lang w:val="en-US" w:eastAsia="zh-CN" w:bidi="ar-SA"/>
                    </w:rPr>
                    <w:t xml:space="preserve">是 </w:t>
                  </w:r>
                  <w:r>
                    <w:rPr>
                      <w:rFonts w:hint="eastAsia" w:ascii="Times New Roman" w:hAnsi="Times New Roman" w:eastAsia="宋体" w:cs="Times New Roman"/>
                      <w:kern w:val="2"/>
                      <w:sz w:val="21"/>
                      <w:szCs w:val="22"/>
                      <w:lang w:val="en-US" w:eastAsia="zh-CN" w:bidi="ar-SA"/>
                    </w:rPr>
                    <w:sym w:font="Wingdings" w:char="00A8"/>
                  </w:r>
                  <w:r>
                    <w:rPr>
                      <w:rFonts w:hint="eastAsia" w:ascii="Times New Roman" w:hAnsi="Times New Roman" w:eastAsia="宋体" w:cs="Times New Roman"/>
                      <w:kern w:val="2"/>
                      <w:sz w:val="21"/>
                      <w:szCs w:val="22"/>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培训计划完成率</w:t>
                  </w:r>
                </w:p>
              </w:tc>
              <w:tc>
                <w:tcPr>
                  <w:tcW w:w="913" w:type="dxa"/>
                  <w:shd w:val="clear" w:color="auto" w:fill="auto"/>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100％</w:t>
                  </w:r>
                </w:p>
              </w:tc>
              <w:tc>
                <w:tcPr>
                  <w:tcW w:w="2350" w:type="dxa"/>
                  <w:shd w:val="clear" w:color="auto" w:fill="auto"/>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培训数/计划数×100%</w:t>
                  </w:r>
                </w:p>
              </w:tc>
              <w:tc>
                <w:tcPr>
                  <w:tcW w:w="650" w:type="dxa"/>
                  <w:shd w:val="clear" w:color="auto" w:fill="auto"/>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每月</w:t>
                  </w:r>
                </w:p>
              </w:tc>
              <w:tc>
                <w:tcPr>
                  <w:tcW w:w="2923" w:type="dxa"/>
                  <w:shd w:val="clear" w:color="auto" w:fill="auto"/>
                </w:tcPr>
                <w:p>
                  <w:pPr>
                    <w:rPr>
                      <w:rFonts w:hint="eastAsia" w:ascii="Times New Roman" w:hAnsi="Times New Roman" w:eastAsia="宋体" w:cs="Times New Roman"/>
                      <w:kern w:val="2"/>
                      <w:sz w:val="21"/>
                      <w:szCs w:val="22"/>
                      <w:lang w:val="en-GB" w:eastAsia="zh-CN" w:bidi="ar-SA"/>
                    </w:rPr>
                  </w:pPr>
                  <w:r>
                    <w:rPr>
                      <w:rFonts w:hint="eastAsia" w:ascii="Times New Roman" w:hAnsi="Times New Roman" w:eastAsia="宋体" w:cs="Times New Roman"/>
                      <w:kern w:val="2"/>
                      <w:sz w:val="21"/>
                      <w:szCs w:val="22"/>
                      <w:lang w:val="en-US" w:eastAsia="zh-CN" w:bidi="ar-SA"/>
                    </w:rPr>
                    <w:sym w:font="Wingdings" w:char="00FE"/>
                  </w:r>
                  <w:r>
                    <w:rPr>
                      <w:rFonts w:hint="eastAsia" w:ascii="Times New Roman" w:hAnsi="Times New Roman" w:eastAsia="宋体" w:cs="Times New Roman"/>
                      <w:kern w:val="2"/>
                      <w:sz w:val="21"/>
                      <w:szCs w:val="22"/>
                      <w:lang w:val="en-US" w:eastAsia="zh-CN" w:bidi="ar-SA"/>
                    </w:rPr>
                    <w:t xml:space="preserve">是 </w:t>
                  </w:r>
                  <w:r>
                    <w:rPr>
                      <w:rFonts w:hint="eastAsia" w:ascii="Times New Roman" w:hAnsi="Times New Roman" w:eastAsia="宋体" w:cs="Times New Roman"/>
                      <w:kern w:val="2"/>
                      <w:sz w:val="21"/>
                      <w:szCs w:val="22"/>
                      <w:lang w:val="en-US" w:eastAsia="zh-CN" w:bidi="ar-SA"/>
                    </w:rPr>
                    <w:sym w:font="Wingdings" w:char="00A8"/>
                  </w:r>
                  <w:r>
                    <w:rPr>
                      <w:rFonts w:hint="eastAsia" w:ascii="Times New Roman" w:hAnsi="Times New Roman" w:eastAsia="宋体" w:cs="Times New Roman"/>
                      <w:kern w:val="2"/>
                      <w:sz w:val="21"/>
                      <w:szCs w:val="22"/>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文件资料受控准确率</w:t>
                  </w:r>
                </w:p>
              </w:tc>
              <w:tc>
                <w:tcPr>
                  <w:tcW w:w="913" w:type="dxa"/>
                  <w:shd w:val="clear" w:color="auto" w:fill="auto"/>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100％</w:t>
                  </w:r>
                </w:p>
              </w:tc>
              <w:tc>
                <w:tcPr>
                  <w:tcW w:w="2350" w:type="dxa"/>
                  <w:shd w:val="clear" w:color="auto" w:fill="auto"/>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受控数/文件数×100%</w:t>
                  </w:r>
                </w:p>
              </w:tc>
              <w:tc>
                <w:tcPr>
                  <w:tcW w:w="650" w:type="dxa"/>
                  <w:shd w:val="clear" w:color="auto" w:fill="auto"/>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每月</w:t>
                  </w:r>
                </w:p>
              </w:tc>
              <w:tc>
                <w:tcPr>
                  <w:tcW w:w="2923" w:type="dxa"/>
                  <w:shd w:val="clear" w:color="auto" w:fill="auto"/>
                </w:tcPr>
                <w:p>
                  <w:pPr>
                    <w:rPr>
                      <w:rFonts w:hint="eastAsia" w:ascii="Times New Roman" w:hAnsi="Times New Roman" w:eastAsia="宋体" w:cs="Times New Roman"/>
                      <w:kern w:val="2"/>
                      <w:sz w:val="21"/>
                      <w:szCs w:val="22"/>
                      <w:lang w:val="en-GB" w:eastAsia="zh-CN" w:bidi="ar-SA"/>
                    </w:rPr>
                  </w:pPr>
                  <w:r>
                    <w:rPr>
                      <w:rFonts w:hint="eastAsia" w:ascii="Times New Roman" w:hAnsi="Times New Roman" w:eastAsia="宋体" w:cs="Times New Roman"/>
                      <w:kern w:val="2"/>
                      <w:sz w:val="21"/>
                      <w:szCs w:val="22"/>
                      <w:lang w:val="en-US" w:eastAsia="zh-CN" w:bidi="ar-SA"/>
                    </w:rPr>
                    <w:sym w:font="Wingdings" w:char="00FE"/>
                  </w:r>
                  <w:r>
                    <w:rPr>
                      <w:rFonts w:hint="eastAsia" w:ascii="Times New Roman" w:hAnsi="Times New Roman" w:eastAsia="宋体" w:cs="Times New Roman"/>
                      <w:kern w:val="2"/>
                      <w:sz w:val="21"/>
                      <w:szCs w:val="22"/>
                      <w:lang w:val="en-US" w:eastAsia="zh-CN" w:bidi="ar-SA"/>
                    </w:rPr>
                    <w:t xml:space="preserve">是 </w:t>
                  </w:r>
                  <w:r>
                    <w:rPr>
                      <w:rFonts w:hint="eastAsia" w:ascii="Times New Roman" w:hAnsi="Times New Roman" w:eastAsia="宋体" w:cs="Times New Roman"/>
                      <w:kern w:val="2"/>
                      <w:sz w:val="21"/>
                      <w:szCs w:val="22"/>
                      <w:lang w:val="en-US" w:eastAsia="zh-CN" w:bidi="ar-SA"/>
                    </w:rPr>
                    <w:sym w:font="Wingdings" w:char="00A8"/>
                  </w:r>
                  <w:r>
                    <w:rPr>
                      <w:rFonts w:hint="eastAsia" w:ascii="Times New Roman" w:hAnsi="Times New Roman" w:eastAsia="宋体" w:cs="Times New Roman"/>
                      <w:kern w:val="2"/>
                      <w:sz w:val="21"/>
                      <w:szCs w:val="22"/>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4"/>
                    <w:pBdr>
                      <w:bottom w:val="none" w:color="auto" w:sz="0" w:space="0"/>
                    </w:pBdr>
                    <w:spacing w:line="240" w:lineRule="exact"/>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采购产品一次交验合格率</w:t>
                  </w:r>
                </w:p>
              </w:tc>
              <w:tc>
                <w:tcPr>
                  <w:tcW w:w="913" w:type="dxa"/>
                  <w:shd w:val="clear" w:color="auto" w:fill="auto"/>
                  <w:vAlign w:val="center"/>
                </w:tcPr>
                <w:p>
                  <w:pPr>
                    <w:pStyle w:val="4"/>
                    <w:pBdr>
                      <w:bottom w:val="none" w:color="auto" w:sz="0" w:space="0"/>
                    </w:pBdr>
                    <w:spacing w:line="240" w:lineRule="exact"/>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≥98%</w:t>
                  </w:r>
                </w:p>
              </w:tc>
              <w:tc>
                <w:tcPr>
                  <w:tcW w:w="2350" w:type="dxa"/>
                  <w:shd w:val="clear" w:color="auto" w:fill="auto"/>
                  <w:vAlign w:val="center"/>
                </w:tcPr>
                <w:p>
                  <w:pPr>
                    <w:pStyle w:val="4"/>
                    <w:pBdr>
                      <w:bottom w:val="none" w:color="auto" w:sz="0" w:space="0"/>
                    </w:pBdr>
                    <w:spacing w:line="500" w:lineRule="exact"/>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合格数/采购数×100%</w:t>
                  </w:r>
                </w:p>
              </w:tc>
              <w:tc>
                <w:tcPr>
                  <w:tcW w:w="650" w:type="dxa"/>
                  <w:shd w:val="clear" w:color="auto" w:fill="auto"/>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每月</w:t>
                  </w:r>
                </w:p>
              </w:tc>
              <w:tc>
                <w:tcPr>
                  <w:tcW w:w="2923" w:type="dxa"/>
                  <w:shd w:val="clear" w:color="auto" w:fill="auto"/>
                </w:tcPr>
                <w:p>
                  <w:pPr>
                    <w:rPr>
                      <w:rFonts w:hint="eastAsia" w:ascii="Times New Roman" w:hAnsi="Times New Roman" w:eastAsia="宋体" w:cs="Times New Roman"/>
                      <w:kern w:val="2"/>
                      <w:sz w:val="21"/>
                      <w:szCs w:val="22"/>
                      <w:lang w:val="en-GB" w:eastAsia="zh-CN" w:bidi="ar-SA"/>
                    </w:rPr>
                  </w:pPr>
                  <w:r>
                    <w:rPr>
                      <w:rFonts w:hint="eastAsia" w:ascii="Times New Roman" w:hAnsi="Times New Roman" w:eastAsia="宋体" w:cs="Times New Roman"/>
                      <w:kern w:val="2"/>
                      <w:sz w:val="21"/>
                      <w:szCs w:val="22"/>
                      <w:lang w:val="en-US" w:eastAsia="zh-CN" w:bidi="ar-SA"/>
                    </w:rPr>
                    <w:sym w:font="Wingdings" w:char="00FE"/>
                  </w:r>
                  <w:r>
                    <w:rPr>
                      <w:rFonts w:hint="eastAsia" w:ascii="Times New Roman" w:hAnsi="Times New Roman" w:eastAsia="宋体" w:cs="Times New Roman"/>
                      <w:kern w:val="2"/>
                      <w:sz w:val="21"/>
                      <w:szCs w:val="22"/>
                      <w:lang w:val="en-US" w:eastAsia="zh-CN" w:bidi="ar-SA"/>
                    </w:rPr>
                    <w:t xml:space="preserve">是 </w:t>
                  </w:r>
                  <w:r>
                    <w:rPr>
                      <w:rFonts w:hint="eastAsia" w:ascii="Times New Roman" w:hAnsi="Times New Roman" w:eastAsia="宋体" w:cs="Times New Roman"/>
                      <w:kern w:val="2"/>
                      <w:sz w:val="21"/>
                      <w:szCs w:val="22"/>
                      <w:lang w:val="en-US" w:eastAsia="zh-CN" w:bidi="ar-SA"/>
                    </w:rPr>
                    <w:sym w:font="Wingdings" w:char="00A8"/>
                  </w:r>
                  <w:r>
                    <w:rPr>
                      <w:rFonts w:hint="eastAsia" w:ascii="Times New Roman" w:hAnsi="Times New Roman" w:eastAsia="宋体" w:cs="Times New Roman"/>
                      <w:kern w:val="2"/>
                      <w:sz w:val="21"/>
                      <w:szCs w:val="22"/>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客户反馈有效处理率</w:t>
                  </w:r>
                </w:p>
              </w:tc>
              <w:tc>
                <w:tcPr>
                  <w:tcW w:w="913" w:type="dxa"/>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100%</w:t>
                  </w:r>
                </w:p>
              </w:tc>
              <w:tc>
                <w:tcPr>
                  <w:tcW w:w="2350" w:type="dxa"/>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完成数/计划数×100%</w:t>
                  </w:r>
                </w:p>
              </w:tc>
              <w:tc>
                <w:tcPr>
                  <w:tcW w:w="650" w:type="dxa"/>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每月</w:t>
                  </w:r>
                </w:p>
              </w:tc>
              <w:tc>
                <w:tcPr>
                  <w:tcW w:w="2923" w:type="dxa"/>
                </w:tcPr>
                <w:p>
                  <w:pPr>
                    <w:rPr>
                      <w:rFonts w:hint="eastAsia" w:ascii="Times New Roman" w:hAnsi="Times New Roman" w:eastAsia="宋体" w:cs="Times New Roman"/>
                      <w:kern w:val="2"/>
                      <w:sz w:val="21"/>
                      <w:szCs w:val="22"/>
                      <w:lang w:val="en-GB" w:eastAsia="zh-CN" w:bidi="ar-SA"/>
                    </w:rPr>
                  </w:pPr>
                  <w:r>
                    <w:rPr>
                      <w:rFonts w:hint="eastAsia" w:ascii="Times New Roman" w:hAnsi="Times New Roman" w:eastAsia="宋体" w:cs="Times New Roman"/>
                      <w:kern w:val="2"/>
                      <w:sz w:val="21"/>
                      <w:szCs w:val="22"/>
                      <w:lang w:val="en-US" w:eastAsia="zh-CN" w:bidi="ar-SA"/>
                    </w:rPr>
                    <w:sym w:font="Wingdings" w:char="00FE"/>
                  </w:r>
                  <w:r>
                    <w:rPr>
                      <w:rFonts w:hint="eastAsia" w:ascii="Times New Roman" w:hAnsi="Times New Roman" w:eastAsia="宋体" w:cs="Times New Roman"/>
                      <w:kern w:val="2"/>
                      <w:sz w:val="21"/>
                      <w:szCs w:val="22"/>
                      <w:lang w:val="en-US" w:eastAsia="zh-CN" w:bidi="ar-SA"/>
                    </w:rPr>
                    <w:t xml:space="preserve">是 </w:t>
                  </w:r>
                  <w:r>
                    <w:rPr>
                      <w:rFonts w:hint="eastAsia" w:ascii="Times New Roman" w:hAnsi="Times New Roman" w:eastAsia="宋体" w:cs="Times New Roman"/>
                      <w:kern w:val="2"/>
                      <w:sz w:val="21"/>
                      <w:szCs w:val="22"/>
                      <w:lang w:val="en-US" w:eastAsia="zh-CN" w:bidi="ar-SA"/>
                    </w:rPr>
                    <w:sym w:font="Wingdings" w:char="00A8"/>
                  </w:r>
                  <w:r>
                    <w:rPr>
                      <w:rFonts w:hint="eastAsia" w:ascii="Times New Roman" w:hAnsi="Times New Roman" w:eastAsia="宋体" w:cs="Times New Roman"/>
                      <w:kern w:val="2"/>
                      <w:sz w:val="21"/>
                      <w:szCs w:val="22"/>
                      <w:lang w:val="en-US" w:eastAsia="zh-CN" w:bidi="ar-SA"/>
                    </w:rPr>
                    <w:t>否</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变更的策划</w:t>
            </w:r>
          </w:p>
          <w:p/>
        </w:tc>
        <w:tc>
          <w:tcPr>
            <w:tcW w:w="960" w:type="dxa"/>
            <w:vMerge w:val="restart"/>
          </w:tcPr>
          <w:p>
            <w:r>
              <w:rPr>
                <w:rFonts w:hint="eastAsia"/>
                <w:color w:val="000000"/>
                <w:szCs w:val="21"/>
              </w:rPr>
              <w:t>Q6.3  </w:t>
            </w:r>
          </w:p>
        </w:tc>
        <w:tc>
          <w:tcPr>
            <w:tcW w:w="745" w:type="dxa"/>
          </w:tcPr>
          <w:p>
            <w:r>
              <w:rPr>
                <w:rFonts w:hint="eastAsia"/>
              </w:rPr>
              <w:t>文件名称</w:t>
            </w:r>
          </w:p>
        </w:tc>
        <w:tc>
          <w:tcPr>
            <w:tcW w:w="9259" w:type="dxa"/>
          </w:tcPr>
          <w:p>
            <w:r>
              <w:rPr>
                <w:rFonts w:hint="eastAsia"/>
              </w:rPr>
              <w:t>如：手册第6.3条款、</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□主要设备设施 □主要检测设备 ☑无变更</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体系变更的内容说明</w:t>
                  </w:r>
                </w:p>
              </w:tc>
              <w:tc>
                <w:tcPr>
                  <w:tcW w:w="3632" w:type="dxa"/>
                </w:tcPr>
                <w:p>
                  <w:pPr>
                    <w:rPr>
                      <w:highlight w:val="cyan"/>
                    </w:rPr>
                  </w:pPr>
                  <w:r>
                    <w:rPr>
                      <w:rFonts w:hint="eastAsia"/>
                    </w:rPr>
                    <w:t>无</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质量管理体系的完整性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r>
              <w:rPr>
                <w:rFonts w:hint="eastAsia"/>
              </w:rPr>
              <w:t>管理评审</w:t>
            </w:r>
          </w:p>
        </w:tc>
        <w:tc>
          <w:tcPr>
            <w:tcW w:w="960" w:type="dxa"/>
            <w:vMerge w:val="restart"/>
          </w:tcPr>
          <w:p>
            <w:r>
              <w:rPr>
                <w:rFonts w:hint="eastAsia"/>
              </w:rPr>
              <w:t>Q9.3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《管理评审控制程序》</w:t>
            </w:r>
            <w:r>
              <w:rPr>
                <w:rFonts w:hint="eastAsia"/>
              </w:rPr>
              <w:sym w:font="Wingdings" w:char="00FE"/>
            </w:r>
            <w:r>
              <w:rPr>
                <w:rFonts w:hint="eastAsia"/>
              </w:rPr>
              <w:t>手册第9.3条款</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tc>
        <w:tc>
          <w:tcPr>
            <w:tcW w:w="960" w:type="dxa"/>
            <w:vMerge w:val="continue"/>
          </w:tcPr>
          <w:p/>
        </w:tc>
        <w:tc>
          <w:tcPr>
            <w:tcW w:w="745" w:type="dxa"/>
          </w:tcPr>
          <w:p>
            <w:pPr>
              <w:widowControl/>
              <w:spacing w:before="40"/>
              <w:jc w:val="left"/>
              <w:rPr>
                <w:color w:val="000000"/>
                <w:szCs w:val="18"/>
              </w:rPr>
            </w:pPr>
          </w:p>
          <w:p>
            <w:r>
              <w:rPr>
                <w:rFonts w:hint="eastAsia"/>
              </w:rPr>
              <w:t>运行证据</w:t>
            </w:r>
          </w:p>
        </w:tc>
        <w:tc>
          <w:tcPr>
            <w:tcW w:w="9259" w:type="dxa"/>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12</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30</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color w:val="000000"/>
                      <w:szCs w:val="21"/>
                    </w:rPr>
                    <w:t>管理评审输入信息</w:t>
                  </w:r>
                </w:p>
              </w:tc>
              <w:tc>
                <w:tcPr>
                  <w:tcW w:w="1990"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列举描述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以往管理评审所采取措施的情况；</w:t>
                  </w:r>
                </w:p>
              </w:tc>
              <w:tc>
                <w:tcPr>
                  <w:tcW w:w="1990" w:type="dxa"/>
                </w:tcPr>
                <w:p>
                  <w:pPr>
                    <w:widowControl/>
                    <w:spacing w:before="40"/>
                    <w:jc w:val="left"/>
                    <w:rPr>
                      <w:color w:val="000000"/>
                      <w:szCs w:val="21"/>
                    </w:rPr>
                  </w:pPr>
                  <w:r>
                    <w:rPr>
                      <w:rFonts w:hint="eastAsia"/>
                      <w:color w:val="000000"/>
                      <w:szCs w:val="21"/>
                      <w:lang w:eastAsia="zh-CN"/>
                    </w:rPr>
                    <w:sym w:font="Wingdings 2" w:char="0052"/>
                  </w:r>
                  <w:r>
                    <w:rPr>
                      <w:rFonts w:hint="eastAsia"/>
                      <w:color w:val="000000"/>
                      <w:szCs w:val="21"/>
                    </w:rPr>
                    <w:t xml:space="preserve">符合 </w:t>
                  </w:r>
                  <w:r>
                    <w:rPr>
                      <w:rFonts w:hint="eastAsia"/>
                      <w:color w:val="000000"/>
                      <w:szCs w:val="21"/>
                      <w:lang w:eastAsia="zh-CN"/>
                    </w:rPr>
                    <w:t>□</w:t>
                  </w:r>
                  <w:r>
                    <w:rPr>
                      <w:rFonts w:hint="eastAsia"/>
                      <w:color w:val="000000"/>
                      <w:szCs w:val="21"/>
                    </w:rPr>
                    <w:t>不符合</w:t>
                  </w:r>
                </w:p>
              </w:tc>
              <w:tc>
                <w:tcPr>
                  <w:tcW w:w="2816" w:type="dxa"/>
                </w:tcPr>
                <w:p>
                  <w:pPr>
                    <w:widowControl/>
                    <w:spacing w:before="40"/>
                    <w:jc w:val="left"/>
                    <w:rPr>
                      <w:rFonts w:hint="default" w:eastAsia="宋体"/>
                      <w:color w:val="000000"/>
                      <w:szCs w:val="21"/>
                      <w:highlight w:val="cyan"/>
                      <w:lang w:val="en-US" w:eastAsia="zh-CN"/>
                    </w:rPr>
                  </w:pPr>
                  <w:r>
                    <w:rPr>
                      <w:rFonts w:hint="eastAsia"/>
                      <w:color w:val="auto"/>
                      <w:szCs w:val="21"/>
                      <w:highlight w:val="none"/>
                      <w:shd w:val="clear" w:color="auto" w:fill="auto"/>
                      <w:lang w:val="en-US" w:eastAsia="zh-CN"/>
                    </w:rPr>
                    <w:t>已组织人员进行管理体系培训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与质量管理体系相关的内外部因素的变化；</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eastAsia" w:eastAsia="宋体"/>
                      <w:color w:val="000000"/>
                      <w:szCs w:val="21"/>
                      <w:lang w:val="en-US" w:eastAsia="zh-CN"/>
                    </w:rPr>
                  </w:pPr>
                  <w:r>
                    <w:rPr>
                      <w:rFonts w:hint="eastAsia"/>
                      <w:color w:val="000000"/>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顾客满意和有关相关方的反馈及趋势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满足顾客及相关方需求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质量目标的实现程度及趋势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完成质量目标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过程绩效以及产品和服务的合格情况及趋势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生产及质量目标达标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不合格及纠正措施及趋势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无质量投诉，内审不符合已改进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监视和测量结果及趋势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2021.4-2012.3目标完成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内审、外部审核结果及趋势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highlight w:val="none"/>
                      <w:vertAlign w:val="baseline"/>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外部供方的绩效及趋势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进行供应商评鉴，合格供方未变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资源的充分性；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highlight w:val="none"/>
                      <w:vertAlign w:val="baseline"/>
                      <w:lang w:val="en-US" w:eastAsia="zh-CN"/>
                    </w:rPr>
                    <w:t>可以达标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应对风险和机遇所采取措施的有效性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改进的机会</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eastAsia" w:eastAsia="宋体"/>
                      <w:color w:val="000000"/>
                      <w:szCs w:val="21"/>
                      <w:lang w:val="en-US" w:eastAsia="zh-CN"/>
                    </w:rPr>
                  </w:pPr>
                  <w:r>
                    <w:rPr>
                      <w:rFonts w:hint="eastAsia"/>
                      <w:color w:val="000000"/>
                      <w:szCs w:val="21"/>
                      <w:lang w:val="en-US" w:eastAsia="zh-CN"/>
                    </w:rPr>
                    <w:t>暂无</w:t>
                  </w:r>
                </w:p>
              </w:tc>
            </w:tr>
          </w:tbl>
          <w:p>
            <w:pPr>
              <w:widowControl/>
              <w:spacing w:before="40"/>
              <w:jc w:val="left"/>
              <w:rPr>
                <w:rFonts w:hint="eastAsia"/>
                <w:color w:val="000000"/>
                <w:szCs w:val="21"/>
                <w:highlight w:val="cyan"/>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auto"/>
                      <w:szCs w:val="21"/>
                    </w:rPr>
                  </w:pPr>
                  <w:r>
                    <w:rPr>
                      <w:rFonts w:hint="eastAsia"/>
                      <w:color w:val="auto"/>
                      <w:szCs w:val="18"/>
                    </w:rPr>
                    <w:t>管理评审输出信息</w:t>
                  </w:r>
                </w:p>
              </w:tc>
              <w:tc>
                <w:tcPr>
                  <w:tcW w:w="4620" w:type="dxa"/>
                </w:tcPr>
                <w:p>
                  <w:pPr>
                    <w:widowControl/>
                    <w:spacing w:before="40"/>
                    <w:jc w:val="left"/>
                    <w:rPr>
                      <w:color w:val="auto"/>
                      <w:szCs w:val="21"/>
                    </w:rPr>
                  </w:pPr>
                  <w:r>
                    <w:rPr>
                      <w:rFonts w:hint="eastAsia"/>
                      <w:color w:val="auto"/>
                      <w:szCs w:val="21"/>
                    </w:rPr>
                    <w:t>措施描述（</w:t>
                  </w:r>
                  <w:r>
                    <w:rPr>
                      <w:rFonts w:hint="eastAsia"/>
                      <w:b/>
                      <w:bCs/>
                      <w:color w:val="auto"/>
                      <w:szCs w:val="21"/>
                    </w:rPr>
                    <w:t>举例</w:t>
                  </w:r>
                  <w:r>
                    <w:rPr>
                      <w:rFonts w:hint="eastAsia"/>
                      <w:color w:val="auto"/>
                      <w:szCs w:val="21"/>
                    </w:rPr>
                    <w:t>）</w:t>
                  </w:r>
                </w:p>
              </w:tc>
              <w:tc>
                <w:tcPr>
                  <w:tcW w:w="2496" w:type="dxa"/>
                </w:tcPr>
                <w:p>
                  <w:pPr>
                    <w:widowControl/>
                    <w:spacing w:before="40"/>
                    <w:jc w:val="left"/>
                    <w:rPr>
                      <w:color w:val="auto"/>
                      <w:szCs w:val="21"/>
                    </w:rPr>
                  </w:pPr>
                  <w:r>
                    <w:rPr>
                      <w:rFonts w:hint="eastAsia"/>
                      <w:color w:val="auto"/>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auto"/>
                      <w:szCs w:val="21"/>
                    </w:rPr>
                  </w:pPr>
                  <w:r>
                    <w:rPr>
                      <w:rFonts w:hint="eastAsia"/>
                      <w:color w:val="auto"/>
                    </w:rPr>
                    <w:t>改进的机会</w:t>
                  </w:r>
                </w:p>
              </w:tc>
              <w:tc>
                <w:tcPr>
                  <w:tcW w:w="4620" w:type="dxa"/>
                </w:tcPr>
                <w:p>
                  <w:pPr>
                    <w:widowControl/>
                    <w:spacing w:before="40"/>
                    <w:jc w:val="left"/>
                    <w:rPr>
                      <w:rFonts w:hint="eastAsia" w:eastAsia="仿宋_GB2312"/>
                      <w:color w:val="auto"/>
                      <w:szCs w:val="21"/>
                      <w:lang w:eastAsia="zh-CN"/>
                    </w:rPr>
                  </w:pPr>
                  <w:r>
                    <w:rPr>
                      <w:rFonts w:hint="eastAsia"/>
                      <w:color w:val="auto"/>
                      <w:szCs w:val="22"/>
                    </w:rPr>
                    <w:t>对ISO9001标准仍然不够熟悉</w:t>
                  </w:r>
                  <w:r>
                    <w:rPr>
                      <w:rFonts w:hint="eastAsia"/>
                      <w:color w:val="auto"/>
                      <w:szCs w:val="22"/>
                      <w:lang w:eastAsia="zh-CN"/>
                    </w:rPr>
                    <w:t>，</w:t>
                  </w:r>
                  <w:r>
                    <w:rPr>
                      <w:rFonts w:hint="eastAsia"/>
                      <w:color w:val="auto"/>
                      <w:szCs w:val="22"/>
                    </w:rPr>
                    <w:t>组织一次培训，学习标准及手册、程序要点。</w:t>
                  </w:r>
                </w:p>
              </w:tc>
              <w:tc>
                <w:tcPr>
                  <w:tcW w:w="2496" w:type="dxa"/>
                </w:tcPr>
                <w:p>
                  <w:pPr>
                    <w:widowControl/>
                    <w:spacing w:before="40"/>
                    <w:jc w:val="left"/>
                    <w:rPr>
                      <w:color w:val="auto"/>
                      <w:szCs w:val="21"/>
                    </w:rPr>
                  </w:pPr>
                  <w:r>
                    <w:rPr>
                      <w:rFonts w:hint="eastAsia"/>
                      <w:color w:val="auto"/>
                      <w:szCs w:val="21"/>
                      <w:lang w:eastAsia="zh-CN"/>
                    </w:rPr>
                    <w:t>☑</w:t>
                  </w:r>
                  <w:r>
                    <w:rPr>
                      <w:rFonts w:hint="eastAsia"/>
                      <w:color w:val="auto"/>
                    </w:rPr>
                    <w:t>已落实</w:t>
                  </w:r>
                  <w:r>
                    <w:rPr>
                      <w:rFonts w:hint="eastAsia"/>
                      <w:color w:val="auto"/>
                      <w:szCs w:val="21"/>
                    </w:rPr>
                    <w:t xml:space="preserve"> □</w:t>
                  </w:r>
                  <w:r>
                    <w:rPr>
                      <w:rFonts w:hint="eastAsia"/>
                      <w:color w:val="auto"/>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auto"/>
                      <w:szCs w:val="21"/>
                    </w:rPr>
                  </w:pPr>
                  <w:r>
                    <w:rPr>
                      <w:rFonts w:hint="eastAsia"/>
                      <w:color w:val="auto"/>
                    </w:rPr>
                    <w:t>质量管理体系所需的变更</w:t>
                  </w:r>
                </w:p>
              </w:tc>
              <w:tc>
                <w:tcPr>
                  <w:tcW w:w="4620" w:type="dxa"/>
                </w:tcPr>
                <w:p>
                  <w:pPr>
                    <w:widowControl/>
                    <w:spacing w:before="40"/>
                    <w:jc w:val="left"/>
                    <w:rPr>
                      <w:rFonts w:hint="eastAsia" w:eastAsia="宋体"/>
                      <w:color w:val="auto"/>
                      <w:szCs w:val="21"/>
                      <w:lang w:val="en-US" w:eastAsia="zh-CN"/>
                    </w:rPr>
                  </w:pPr>
                  <w:r>
                    <w:rPr>
                      <w:rFonts w:hint="eastAsia"/>
                      <w:color w:val="auto"/>
                      <w:szCs w:val="21"/>
                      <w:lang w:val="en-US" w:eastAsia="zh-CN"/>
                    </w:rPr>
                    <w:t>无</w:t>
                  </w:r>
                </w:p>
              </w:tc>
              <w:tc>
                <w:tcPr>
                  <w:tcW w:w="2496" w:type="dxa"/>
                </w:tcPr>
                <w:p>
                  <w:pPr>
                    <w:widowControl/>
                    <w:spacing w:before="40"/>
                    <w:jc w:val="left"/>
                    <w:rPr>
                      <w:color w:val="auto"/>
                      <w:szCs w:val="21"/>
                    </w:rPr>
                  </w:pPr>
                  <w:r>
                    <w:rPr>
                      <w:rFonts w:hint="eastAsia"/>
                      <w:color w:val="auto"/>
                      <w:szCs w:val="21"/>
                    </w:rPr>
                    <w:t>□</w:t>
                  </w:r>
                  <w:r>
                    <w:rPr>
                      <w:rFonts w:hint="eastAsia"/>
                      <w:color w:val="auto"/>
                    </w:rPr>
                    <w:t>已落实</w:t>
                  </w:r>
                  <w:r>
                    <w:rPr>
                      <w:rFonts w:hint="eastAsia"/>
                      <w:color w:val="auto"/>
                      <w:szCs w:val="21"/>
                    </w:rPr>
                    <w:t xml:space="preserve"> □</w:t>
                  </w:r>
                  <w:r>
                    <w:rPr>
                      <w:rFonts w:hint="eastAsia"/>
                      <w:color w:val="auto"/>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auto"/>
                      <w:szCs w:val="21"/>
                    </w:rPr>
                  </w:pPr>
                  <w:r>
                    <w:rPr>
                      <w:rFonts w:hint="eastAsia"/>
                      <w:color w:val="auto"/>
                    </w:rPr>
                    <w:t>资源需求</w:t>
                  </w:r>
                </w:p>
              </w:tc>
              <w:tc>
                <w:tcPr>
                  <w:tcW w:w="4620" w:type="dxa"/>
                </w:tcPr>
                <w:p>
                  <w:pPr>
                    <w:widowControl/>
                    <w:spacing w:before="40"/>
                    <w:jc w:val="left"/>
                    <w:rPr>
                      <w:rFonts w:hint="eastAsia" w:eastAsia="宋体"/>
                      <w:color w:val="auto"/>
                      <w:szCs w:val="21"/>
                      <w:lang w:val="en-US" w:eastAsia="zh-CN"/>
                    </w:rPr>
                  </w:pPr>
                  <w:r>
                    <w:rPr>
                      <w:rFonts w:hint="eastAsia"/>
                      <w:color w:val="auto"/>
                      <w:szCs w:val="21"/>
                      <w:lang w:val="en-US" w:eastAsia="zh-CN"/>
                    </w:rPr>
                    <w:t>投入资金</w:t>
                  </w:r>
                </w:p>
              </w:tc>
              <w:tc>
                <w:tcPr>
                  <w:tcW w:w="2496" w:type="dxa"/>
                </w:tcPr>
                <w:p>
                  <w:pPr>
                    <w:widowControl/>
                    <w:spacing w:before="40"/>
                    <w:jc w:val="left"/>
                    <w:rPr>
                      <w:color w:val="auto"/>
                      <w:szCs w:val="21"/>
                    </w:rPr>
                  </w:pPr>
                  <w:r>
                    <w:rPr>
                      <w:rFonts w:hint="eastAsia"/>
                      <w:color w:val="auto"/>
                      <w:szCs w:val="21"/>
                      <w:lang w:eastAsia="zh-CN"/>
                    </w:rPr>
                    <w:t>☑</w:t>
                  </w:r>
                  <w:r>
                    <w:rPr>
                      <w:rFonts w:hint="eastAsia"/>
                      <w:color w:val="auto"/>
                    </w:rPr>
                    <w:t>已落实</w:t>
                  </w:r>
                  <w:r>
                    <w:rPr>
                      <w:rFonts w:hint="eastAsia"/>
                      <w:color w:val="auto"/>
                      <w:szCs w:val="21"/>
                    </w:rPr>
                    <w:t xml:space="preserve"> □</w:t>
                  </w:r>
                  <w:r>
                    <w:rPr>
                      <w:rFonts w:hint="eastAsia"/>
                      <w:color w:val="auto"/>
                    </w:rPr>
                    <w:t>已部分落实</w:t>
                  </w:r>
                </w:p>
              </w:tc>
            </w:tr>
          </w:tbl>
          <w:p>
            <w:pPr>
              <w:rPr>
                <w:highlight w:val="cyan"/>
              </w:rPr>
            </w:pPr>
          </w:p>
          <w:p>
            <w:pPr>
              <w:rPr>
                <w:rFonts w:hint="eastAsia"/>
                <w:highlight w:val="cya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监视、测量、分析和评价</w:t>
            </w:r>
          </w:p>
          <w:p/>
        </w:tc>
        <w:tc>
          <w:tcPr>
            <w:tcW w:w="960" w:type="dxa"/>
            <w:vMerge w:val="restart"/>
          </w:tcPr>
          <w:p>
            <w:r>
              <w:rPr>
                <w:rFonts w:hint="eastAsia"/>
              </w:rPr>
              <w:t>Q9.1.1</w:t>
            </w:r>
          </w:p>
        </w:tc>
        <w:tc>
          <w:tcPr>
            <w:tcW w:w="745" w:type="dxa"/>
          </w:tcPr>
          <w:p>
            <w:r>
              <w:rPr>
                <w:rFonts w:hint="eastAsia"/>
              </w:rPr>
              <w:t>文件名称</w:t>
            </w:r>
          </w:p>
        </w:tc>
        <w:tc>
          <w:tcPr>
            <w:tcW w:w="9259" w:type="dxa"/>
          </w:tcPr>
          <w:p>
            <w:pPr>
              <w:rPr>
                <w:rFonts w:hint="eastAsia" w:eastAsia="宋体"/>
                <w:lang w:eastAsia="zh-CN"/>
              </w:rPr>
            </w:pPr>
            <w:r>
              <w:rPr>
                <w:rFonts w:hint="eastAsia"/>
              </w:rPr>
              <w:t>如：</w:t>
            </w:r>
            <w:r>
              <w:rPr>
                <w:rFonts w:hint="eastAsia"/>
              </w:rPr>
              <w:sym w:font="Wingdings" w:char="00FE"/>
            </w:r>
            <w:r>
              <w:rPr>
                <w:rFonts w:hint="eastAsia"/>
              </w:rPr>
              <w:t>管理手册9.1.1章</w:t>
            </w:r>
            <w:r>
              <w:rPr>
                <w:rFonts w:hint="eastAsia"/>
                <w:lang w:eastAsia="zh-CN"/>
              </w:rPr>
              <w:t>，</w:t>
            </w:r>
            <w:r>
              <w:rPr>
                <w:rFonts w:hint="eastAsia"/>
              </w:rPr>
              <w:sym w:font="Wingdings" w:char="00FE"/>
            </w:r>
            <w:r>
              <w:rPr>
                <w:rFonts w:hint="eastAsia"/>
                <w:lang w:eastAsia="zh-CN"/>
              </w:rPr>
              <w:t>《绩效的监测和测量控制程序》</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组织对监视和测量的策划</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843"/>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监视和测量的对象</w:t>
                  </w:r>
                </w:p>
              </w:tc>
              <w:tc>
                <w:tcPr>
                  <w:tcW w:w="1843" w:type="dxa"/>
                </w:tcPr>
                <w:p>
                  <w:r>
                    <w:rPr>
                      <w:rFonts w:hint="eastAsia"/>
                    </w:rPr>
                    <w:t>监视、测量的方法</w:t>
                  </w:r>
                </w:p>
              </w:tc>
              <w:tc>
                <w:tcPr>
                  <w:tcW w:w="1986" w:type="dxa"/>
                </w:tcPr>
                <w:p>
                  <w:r>
                    <w:rPr>
                      <w:rFonts w:hint="eastAsia"/>
                    </w:rPr>
                    <w:t>监视和测量的频次和时机</w:t>
                  </w:r>
                </w:p>
              </w:tc>
              <w:tc>
                <w:tcPr>
                  <w:tcW w:w="1887" w:type="dxa"/>
                </w:tcPr>
                <w:p>
                  <w:r>
                    <w:rPr>
                      <w:rFonts w:hint="eastAsia"/>
                    </w:rPr>
                    <w:t>分析和评价的方法</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产品</w:t>
                  </w:r>
                </w:p>
              </w:tc>
              <w:tc>
                <w:tcPr>
                  <w:tcW w:w="1843" w:type="dxa"/>
                </w:tcPr>
                <w:p>
                  <w:r>
                    <w:rPr>
                      <w:rFonts w:hint="eastAsia"/>
                    </w:rPr>
                    <w:t>产品（原材料、半成品、成品）检验</w:t>
                  </w:r>
                </w:p>
              </w:tc>
              <w:tc>
                <w:tcPr>
                  <w:tcW w:w="1986" w:type="dxa"/>
                </w:tcPr>
                <w:p>
                  <w:r>
                    <w:rPr>
                      <w:rFonts w:hint="eastAsia"/>
                      <w:color w:val="000000"/>
                      <w:szCs w:val="21"/>
                    </w:rPr>
                    <w:t>□</w:t>
                  </w:r>
                  <w:r>
                    <w:rPr>
                      <w:rFonts w:hint="eastAsia"/>
                    </w:rPr>
                    <w:t>见检验计划/规程</w:t>
                  </w:r>
                  <w:r>
                    <w:rPr>
                      <w:rFonts w:hint="eastAsia"/>
                      <w:color w:val="000000"/>
                      <w:szCs w:val="21"/>
                    </w:rPr>
                    <w:t>☑每批</w:t>
                  </w:r>
                </w:p>
              </w:tc>
              <w:tc>
                <w:tcPr>
                  <w:tcW w:w="1887" w:type="dxa"/>
                </w:tcPr>
                <w:p>
                  <w:r>
                    <w:rPr>
                      <w:rFonts w:hint="eastAsia"/>
                    </w:rPr>
                    <w:t>对产品合格率进行统计，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过程</w:t>
                  </w:r>
                </w:p>
              </w:tc>
              <w:tc>
                <w:tcPr>
                  <w:tcW w:w="1843" w:type="dxa"/>
                </w:tcPr>
                <w:p>
                  <w:r>
                    <w:rPr>
                      <w:rFonts w:hint="eastAsia"/>
                    </w:rPr>
                    <w:t>现场巡视</w:t>
                  </w:r>
                </w:p>
                <w:p>
                  <w:r>
                    <w:rPr>
                      <w:rFonts w:hint="eastAsia"/>
                    </w:rPr>
                    <w:t>抽查记录</w:t>
                  </w:r>
                </w:p>
              </w:tc>
              <w:tc>
                <w:tcPr>
                  <w:tcW w:w="1986" w:type="dxa"/>
                </w:tcPr>
                <w:p>
                  <w:r>
                    <w:rPr>
                      <w:rFonts w:hint="eastAsia"/>
                      <w:color w:val="000000"/>
                      <w:szCs w:val="21"/>
                    </w:rPr>
                    <w:t>☑</w:t>
                  </w:r>
                  <w:r>
                    <w:rPr>
                      <w:rFonts w:hint="eastAsia"/>
                    </w:rPr>
                    <w:t>定期检查</w:t>
                  </w:r>
                </w:p>
                <w:p>
                  <w:r>
                    <w:rPr>
                      <w:rFonts w:hint="eastAsia"/>
                      <w:color w:val="000000"/>
                      <w:szCs w:val="21"/>
                    </w:rPr>
                    <w:t>☑</w:t>
                  </w:r>
                  <w:r>
                    <w:rPr>
                      <w:rFonts w:hint="eastAsia"/>
                    </w:rPr>
                    <w:t>抽查</w:t>
                  </w:r>
                </w:p>
              </w:tc>
              <w:tc>
                <w:tcPr>
                  <w:tcW w:w="1887" w:type="dxa"/>
                </w:tcPr>
                <w:p>
                  <w:r>
                    <w:rPr>
                      <w:rFonts w:hint="eastAsia"/>
                    </w:rPr>
                    <w:t>对质量目标/Cpk进行统计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体系</w:t>
                  </w:r>
                </w:p>
              </w:tc>
              <w:tc>
                <w:tcPr>
                  <w:tcW w:w="1843" w:type="dxa"/>
                </w:tcPr>
                <w:p>
                  <w:r>
                    <w:rPr>
                      <w:rFonts w:hint="eastAsia"/>
                    </w:rPr>
                    <w:t>内部审核</w:t>
                  </w:r>
                </w:p>
              </w:tc>
              <w:tc>
                <w:tcPr>
                  <w:tcW w:w="1986" w:type="dxa"/>
                </w:tcPr>
                <w:p>
                  <w:r>
                    <w:rPr>
                      <w:rFonts w:hint="eastAsia"/>
                      <w:color w:val="000000"/>
                      <w:szCs w:val="21"/>
                    </w:rPr>
                    <w:t>□</w:t>
                  </w:r>
                  <w:r>
                    <w:rPr>
                      <w:rFonts w:hint="eastAsia"/>
                    </w:rPr>
                    <w:t>按年度内审计划</w:t>
                  </w:r>
                </w:p>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对内审不符合项进行分析</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体系有效性</w:t>
                  </w:r>
                </w:p>
              </w:tc>
              <w:tc>
                <w:tcPr>
                  <w:tcW w:w="1843" w:type="dxa"/>
                </w:tcPr>
                <w:p>
                  <w:r>
                    <w:rPr>
                      <w:rFonts w:hint="eastAsia"/>
                    </w:rPr>
                    <w:t>管理评审</w:t>
                  </w:r>
                </w:p>
              </w:tc>
              <w:tc>
                <w:tcPr>
                  <w:tcW w:w="1986" w:type="dxa"/>
                </w:tcPr>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对QMS存在的需要问题进行分析</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顾客满意</w:t>
                  </w:r>
                </w:p>
              </w:tc>
              <w:tc>
                <w:tcPr>
                  <w:tcW w:w="1843" w:type="dxa"/>
                </w:tcPr>
                <w:p>
                  <w:r>
                    <w:rPr>
                      <w:rFonts w:hint="eastAsia"/>
                    </w:rPr>
                    <w:t>问卷调查</w:t>
                  </w:r>
                </w:p>
              </w:tc>
              <w:tc>
                <w:tcPr>
                  <w:tcW w:w="1986" w:type="dxa"/>
                </w:tcPr>
                <w:p>
                  <w:r>
                    <w:rPr>
                      <w:rFonts w:hint="eastAsia"/>
                      <w:color w:val="000000"/>
                      <w:szCs w:val="21"/>
                    </w:rPr>
                    <w:t>☑</w:t>
                  </w:r>
                  <w:r>
                    <w:rPr>
                      <w:rFonts w:hint="eastAsia"/>
                    </w:rPr>
                    <w:t>每年一次</w:t>
                  </w:r>
                </w:p>
                <w:p>
                  <w:r>
                    <w:rPr>
                      <w:rFonts w:hint="eastAsia"/>
                      <w:color w:val="000000"/>
                      <w:szCs w:val="21"/>
                    </w:rPr>
                    <w:t>□</w:t>
                  </w:r>
                </w:p>
              </w:tc>
              <w:tc>
                <w:tcPr>
                  <w:tcW w:w="1887" w:type="dxa"/>
                </w:tcPr>
                <w:p>
                  <w:r>
                    <w:rPr>
                      <w:rFonts w:hint="eastAsia"/>
                    </w:rPr>
                    <w:t>对顾客满意率进行统计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bl>
          <w:p>
            <w:pPr>
              <w:rPr>
                <w:highlight w:val="cyan"/>
              </w:rPr>
            </w:pP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分析与评价</w:t>
            </w:r>
          </w:p>
        </w:tc>
        <w:tc>
          <w:tcPr>
            <w:tcW w:w="960" w:type="dxa"/>
            <w:vMerge w:val="restart"/>
          </w:tcPr>
          <w:p>
            <w:r>
              <w:rPr>
                <w:rFonts w:hint="eastAsia"/>
              </w:rPr>
              <w:t>Q9.1.3</w:t>
            </w:r>
          </w:p>
        </w:tc>
        <w:tc>
          <w:tcPr>
            <w:tcW w:w="745" w:type="dxa"/>
          </w:tcPr>
          <w:p>
            <w:r>
              <w:rPr>
                <w:rFonts w:hint="eastAsia"/>
              </w:rPr>
              <w:t>文件名称</w:t>
            </w:r>
          </w:p>
        </w:tc>
        <w:tc>
          <w:tcPr>
            <w:tcW w:w="9259" w:type="dxa"/>
          </w:tcPr>
          <w:p>
            <w:pPr>
              <w:rPr>
                <w:rFonts w:hint="eastAsia" w:eastAsia="宋体"/>
                <w:lang w:eastAsia="zh-CN"/>
              </w:rPr>
            </w:pPr>
            <w:r>
              <w:rPr>
                <w:rFonts w:hint="eastAsia"/>
              </w:rPr>
              <w:t>如：</w:t>
            </w:r>
            <w:r>
              <w:rPr>
                <w:rFonts w:hint="eastAsia"/>
              </w:rPr>
              <w:sym w:font="Wingdings" w:char="00FE"/>
            </w:r>
            <w:r>
              <w:rPr>
                <w:rFonts w:hint="eastAsia"/>
              </w:rPr>
              <w:t>管理手册10.3章</w:t>
            </w:r>
            <w:r>
              <w:rPr>
                <w:rFonts w:hint="eastAsia"/>
                <w:lang w:eastAsia="zh-CN"/>
              </w:rPr>
              <w:t>，</w:t>
            </w:r>
            <w:r>
              <w:rPr>
                <w:rFonts w:hint="eastAsia"/>
              </w:rPr>
              <w:sym w:font="Wingdings" w:char="00FE"/>
            </w:r>
            <w:r>
              <w:rPr>
                <w:rFonts w:hint="eastAsia"/>
                <w:lang w:eastAsia="zh-CN"/>
              </w:rPr>
              <w:t>《测量、分析和改进控制程序》</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对获得的数据和信息进行分析与评价</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651"/>
              <w:gridCol w:w="1811"/>
              <w:gridCol w:w="1342"/>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分析和评价的对象</w:t>
                  </w:r>
                </w:p>
              </w:tc>
              <w:tc>
                <w:tcPr>
                  <w:tcW w:w="2651" w:type="dxa"/>
                </w:tcPr>
                <w:p>
                  <w:r>
                    <w:rPr>
                      <w:rFonts w:hint="eastAsia"/>
                    </w:rPr>
                    <w:t>分析和评价的方法</w:t>
                  </w:r>
                </w:p>
              </w:tc>
              <w:tc>
                <w:tcPr>
                  <w:tcW w:w="1811" w:type="dxa"/>
                </w:tcPr>
                <w:p>
                  <w:r>
                    <w:rPr>
                      <w:rFonts w:hint="eastAsia"/>
                    </w:rPr>
                    <w:t>分析和评价的频次和时机</w:t>
                  </w:r>
                </w:p>
              </w:tc>
              <w:tc>
                <w:tcPr>
                  <w:tcW w:w="1342" w:type="dxa"/>
                </w:tcPr>
                <w:p>
                  <w:r>
                    <w:rPr>
                      <w:rFonts w:hint="eastAsia"/>
                    </w:rPr>
                    <w:t>使用的统计技术</w:t>
                  </w:r>
                </w:p>
              </w:tc>
              <w:tc>
                <w:tcPr>
                  <w:tcW w:w="1314" w:type="dxa"/>
                </w:tcPr>
                <w:p>
                  <w:r>
                    <w:rPr>
                      <w:rFonts w:hint="eastAsia"/>
                    </w:rPr>
                    <w:t>分析的结果用于改进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产品和服务的符合性</w:t>
                  </w:r>
                </w:p>
              </w:tc>
              <w:tc>
                <w:tcPr>
                  <w:tcW w:w="2651" w:type="dxa"/>
                  <w:shd w:val="clear" w:color="auto" w:fill="auto"/>
                </w:tcPr>
                <w:p>
                  <w:r>
                    <w:rPr>
                      <w:rFonts w:hint="eastAsia"/>
                    </w:rPr>
                    <w:t>对产品合格率进行统计分析，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r>
                    <w:rPr>
                      <w:rFonts w:hint="eastAsia"/>
                    </w:rPr>
                    <w:t>顾客满意程度</w:t>
                  </w:r>
                </w:p>
              </w:tc>
              <w:tc>
                <w:tcPr>
                  <w:tcW w:w="2651" w:type="dxa"/>
                  <w:shd w:val="clear" w:color="auto" w:fill="auto"/>
                </w:tcPr>
                <w:p>
                  <w:r>
                    <w:rPr>
                      <w:rFonts w:hint="eastAsia"/>
                    </w:rPr>
                    <w:t>对顾客满意率进行统计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质量管理体系的绩效和有效性</w:t>
                  </w:r>
                </w:p>
              </w:tc>
              <w:tc>
                <w:tcPr>
                  <w:tcW w:w="2651" w:type="dxa"/>
                  <w:shd w:val="clear" w:color="auto" w:fill="auto"/>
                </w:tcPr>
                <w:p>
                  <w:r>
                    <w:rPr>
                      <w:rFonts w:hint="eastAsia"/>
                    </w:rPr>
                    <w:t>对内审不符合项进行分析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策划是否得到有效实施</w:t>
                  </w:r>
                </w:p>
              </w:tc>
              <w:tc>
                <w:tcPr>
                  <w:tcW w:w="2651" w:type="dxa"/>
                  <w:shd w:val="clear" w:color="auto" w:fill="auto"/>
                </w:tcPr>
                <w:p>
                  <w:r>
                    <w:rPr>
                      <w:rFonts w:hint="eastAsia"/>
                    </w:rPr>
                    <w:t>对质量目标完成/Cpk进行统计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针对风险和机遇所采取措施的有效性</w:t>
                  </w:r>
                </w:p>
              </w:tc>
              <w:tc>
                <w:tcPr>
                  <w:tcW w:w="2651" w:type="dxa"/>
                  <w:shd w:val="clear" w:color="auto" w:fill="auto"/>
                </w:tcPr>
                <w:p>
                  <w:r>
                    <w:rPr>
                      <w:rFonts w:hint="eastAsia"/>
                    </w:rPr>
                    <w:t>对质量目标完成进行统计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外部供方的绩效</w:t>
                  </w:r>
                </w:p>
              </w:tc>
              <w:tc>
                <w:tcPr>
                  <w:tcW w:w="2651" w:type="dxa"/>
                  <w:shd w:val="clear" w:color="auto" w:fill="auto"/>
                </w:tcPr>
                <w:p>
                  <w:r>
                    <w:rPr>
                      <w:rFonts w:hint="eastAsia"/>
                    </w:rPr>
                    <w:t>对外部供方的供货质量和服务质量进行统计分析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质量管理体系改进的需求</w:t>
                  </w:r>
                </w:p>
              </w:tc>
              <w:tc>
                <w:tcPr>
                  <w:tcW w:w="2651" w:type="dxa"/>
                  <w:shd w:val="clear" w:color="auto" w:fill="auto"/>
                </w:tcPr>
                <w:p>
                  <w:r>
                    <w:rPr>
                      <w:rFonts w:hint="eastAsia"/>
                    </w:rPr>
                    <w:t>对QMS存在的需要问题进行分析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bl>
          <w:p>
            <w:pPr>
              <w:rPr>
                <w:highlight w:val="cyan"/>
              </w:rPr>
            </w:pP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改进</w:t>
            </w:r>
          </w:p>
        </w:tc>
        <w:tc>
          <w:tcPr>
            <w:tcW w:w="960" w:type="dxa"/>
            <w:vMerge w:val="restart"/>
          </w:tcPr>
          <w:p>
            <w:r>
              <w:rPr>
                <w:rFonts w:hint="eastAsia"/>
              </w:rPr>
              <w:t>Q10.1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管理手册10.1章</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2160" w:type="dxa"/>
            <w:vMerge w:val="restart"/>
          </w:tcPr>
          <w:p>
            <w:r>
              <w:rPr>
                <w:rFonts w:hint="eastAsia"/>
              </w:rPr>
              <w:t>10.3 持续改进</w:t>
            </w:r>
          </w:p>
          <w:p/>
        </w:tc>
        <w:tc>
          <w:tcPr>
            <w:tcW w:w="960" w:type="dxa"/>
            <w:vMerge w:val="restart"/>
          </w:tcPr>
          <w:p>
            <w:r>
              <w:rPr>
                <w:rFonts w:hint="eastAsia"/>
              </w:rPr>
              <w:t>Q10.3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管理手册10.3章</w:t>
            </w:r>
          </w:p>
        </w:tc>
        <w:tc>
          <w:tcPr>
            <w:tcW w:w="1585" w:type="dxa"/>
            <w:vMerge w:val="restart"/>
          </w:tcPr>
          <w:p>
            <w:pPr>
              <w:rPr>
                <w:rFonts w:hint="eastAsia"/>
                <w:lang w:val="en-US" w:eastAsia="zh-CN"/>
              </w:rPr>
            </w:pPr>
            <w:r>
              <w:rPr>
                <w:rFonts w:hint="eastAsia"/>
                <w:lang w:val="en-US" w:eastAsia="zh-CN"/>
              </w:rPr>
              <w:t>符合</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组织已持续改进质量管理体系的适宜性、充分性和有效性。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FE"/>
            </w:r>
            <w:r>
              <w:rPr>
                <w:rFonts w:hint="eastAsia"/>
              </w:rPr>
              <w:t xml:space="preserve"> 管理评审改进措施已落实</w:t>
            </w:r>
          </w:p>
          <w:p>
            <w:pPr>
              <w:rPr>
                <w:u w:val="single"/>
              </w:rPr>
            </w:pPr>
            <w:r>
              <w:rPr>
                <w:rFonts w:hint="eastAsia"/>
              </w:rPr>
              <w:sym w:font="Wingdings" w:char="00A8"/>
            </w:r>
            <w:r>
              <w:rPr>
                <w:rFonts w:hint="eastAsia"/>
              </w:rPr>
              <w:t xml:space="preserve"> 管理评审改进措施未落实的原因：</w:t>
            </w:r>
            <w:r>
              <w:rPr>
                <w:rFonts w:hint="eastAsia"/>
                <w:u w:val="single"/>
              </w:rPr>
              <w:t xml:space="preserve">                              </w:t>
            </w:r>
          </w:p>
          <w:p/>
        </w:tc>
        <w:tc>
          <w:tcPr>
            <w:tcW w:w="1585" w:type="dxa"/>
            <w:vMerge w:val="continue"/>
          </w:tcPr>
          <w:p/>
        </w:tc>
      </w:tr>
    </w:tbl>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4" o:spid="_x0000_s3074"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56" w:firstLineChars="400"/>
      <w:jc w:val="left"/>
    </w:pP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62E46"/>
    <w:rsid w:val="000E6B21"/>
    <w:rsid w:val="001A2D7F"/>
    <w:rsid w:val="002939AD"/>
    <w:rsid w:val="002B5153"/>
    <w:rsid w:val="00314AF6"/>
    <w:rsid w:val="00337922"/>
    <w:rsid w:val="00340867"/>
    <w:rsid w:val="0034330B"/>
    <w:rsid w:val="00380837"/>
    <w:rsid w:val="003A198A"/>
    <w:rsid w:val="00410914"/>
    <w:rsid w:val="0048201E"/>
    <w:rsid w:val="00536930"/>
    <w:rsid w:val="00564E53"/>
    <w:rsid w:val="005D096A"/>
    <w:rsid w:val="005D5659"/>
    <w:rsid w:val="00600C20"/>
    <w:rsid w:val="00644FE2"/>
    <w:rsid w:val="0067640C"/>
    <w:rsid w:val="006E678B"/>
    <w:rsid w:val="006E7B1D"/>
    <w:rsid w:val="007757F3"/>
    <w:rsid w:val="00792035"/>
    <w:rsid w:val="007C1B48"/>
    <w:rsid w:val="007E3B15"/>
    <w:rsid w:val="007E6AEB"/>
    <w:rsid w:val="00865758"/>
    <w:rsid w:val="008973EE"/>
    <w:rsid w:val="00971600"/>
    <w:rsid w:val="009973B4"/>
    <w:rsid w:val="009C28C1"/>
    <w:rsid w:val="009F7EED"/>
    <w:rsid w:val="00A80636"/>
    <w:rsid w:val="00AF0AAB"/>
    <w:rsid w:val="00BF597E"/>
    <w:rsid w:val="00C51A36"/>
    <w:rsid w:val="00C55228"/>
    <w:rsid w:val="00C63768"/>
    <w:rsid w:val="00CE315A"/>
    <w:rsid w:val="00D06F59"/>
    <w:rsid w:val="00D2392F"/>
    <w:rsid w:val="00D8388C"/>
    <w:rsid w:val="00E6224C"/>
    <w:rsid w:val="00EB0164"/>
    <w:rsid w:val="00ED0F62"/>
    <w:rsid w:val="00FF7401"/>
    <w:rsid w:val="01260C71"/>
    <w:rsid w:val="01A321D9"/>
    <w:rsid w:val="01E27364"/>
    <w:rsid w:val="01FE18C8"/>
    <w:rsid w:val="02797701"/>
    <w:rsid w:val="02C75A20"/>
    <w:rsid w:val="032F5195"/>
    <w:rsid w:val="03A0688A"/>
    <w:rsid w:val="03A32F8E"/>
    <w:rsid w:val="03AB4A3B"/>
    <w:rsid w:val="03AC3D8E"/>
    <w:rsid w:val="03CE483E"/>
    <w:rsid w:val="03CF54E8"/>
    <w:rsid w:val="0405614C"/>
    <w:rsid w:val="04883DB3"/>
    <w:rsid w:val="04981EC9"/>
    <w:rsid w:val="050D3D1E"/>
    <w:rsid w:val="056577F0"/>
    <w:rsid w:val="05705C5F"/>
    <w:rsid w:val="057753FF"/>
    <w:rsid w:val="05A05014"/>
    <w:rsid w:val="05B44859"/>
    <w:rsid w:val="05D4332F"/>
    <w:rsid w:val="05F6270F"/>
    <w:rsid w:val="0605101B"/>
    <w:rsid w:val="061B4460"/>
    <w:rsid w:val="063554F0"/>
    <w:rsid w:val="06444A1B"/>
    <w:rsid w:val="067B702D"/>
    <w:rsid w:val="06994A8D"/>
    <w:rsid w:val="06AA7E97"/>
    <w:rsid w:val="06ED612A"/>
    <w:rsid w:val="07FD44A3"/>
    <w:rsid w:val="081E2104"/>
    <w:rsid w:val="086B3934"/>
    <w:rsid w:val="08761C7A"/>
    <w:rsid w:val="08767210"/>
    <w:rsid w:val="08851DD7"/>
    <w:rsid w:val="08C22483"/>
    <w:rsid w:val="08ED1EE8"/>
    <w:rsid w:val="09005957"/>
    <w:rsid w:val="09120187"/>
    <w:rsid w:val="094663BE"/>
    <w:rsid w:val="096333C5"/>
    <w:rsid w:val="09933EF9"/>
    <w:rsid w:val="09AA0CA5"/>
    <w:rsid w:val="09FA6045"/>
    <w:rsid w:val="0A0F142E"/>
    <w:rsid w:val="0A1C56C1"/>
    <w:rsid w:val="0A8709B9"/>
    <w:rsid w:val="0A904067"/>
    <w:rsid w:val="0AAB13CF"/>
    <w:rsid w:val="0ACA6ED2"/>
    <w:rsid w:val="0AEF4D8D"/>
    <w:rsid w:val="0BE64DFF"/>
    <w:rsid w:val="0C5423F7"/>
    <w:rsid w:val="0C8009B8"/>
    <w:rsid w:val="0CC102DA"/>
    <w:rsid w:val="0D181113"/>
    <w:rsid w:val="0D1E4D9B"/>
    <w:rsid w:val="0D270A06"/>
    <w:rsid w:val="0D4D1326"/>
    <w:rsid w:val="0D6A2C36"/>
    <w:rsid w:val="0DB35CC0"/>
    <w:rsid w:val="0E385B07"/>
    <w:rsid w:val="0E49595F"/>
    <w:rsid w:val="0EB8524B"/>
    <w:rsid w:val="0F86648B"/>
    <w:rsid w:val="0F9C35C1"/>
    <w:rsid w:val="0FFA42BF"/>
    <w:rsid w:val="10062D9E"/>
    <w:rsid w:val="100B6D7F"/>
    <w:rsid w:val="100D075A"/>
    <w:rsid w:val="106A3497"/>
    <w:rsid w:val="108219C2"/>
    <w:rsid w:val="10991918"/>
    <w:rsid w:val="10A120FB"/>
    <w:rsid w:val="10AB5B5F"/>
    <w:rsid w:val="10C112A0"/>
    <w:rsid w:val="10C11C69"/>
    <w:rsid w:val="10DD2E35"/>
    <w:rsid w:val="11536201"/>
    <w:rsid w:val="115D3DB9"/>
    <w:rsid w:val="119E3FF4"/>
    <w:rsid w:val="11BD2BE2"/>
    <w:rsid w:val="11BE2038"/>
    <w:rsid w:val="11DC0AC4"/>
    <w:rsid w:val="11E2439D"/>
    <w:rsid w:val="124C3B13"/>
    <w:rsid w:val="12563B2D"/>
    <w:rsid w:val="12A2571D"/>
    <w:rsid w:val="12A42EA7"/>
    <w:rsid w:val="12A506D3"/>
    <w:rsid w:val="13296CDD"/>
    <w:rsid w:val="134E7573"/>
    <w:rsid w:val="13890C2B"/>
    <w:rsid w:val="13A420AC"/>
    <w:rsid w:val="13C11723"/>
    <w:rsid w:val="13C31FF4"/>
    <w:rsid w:val="13EB79B2"/>
    <w:rsid w:val="140E0601"/>
    <w:rsid w:val="145B46D3"/>
    <w:rsid w:val="14BA1243"/>
    <w:rsid w:val="14C400FD"/>
    <w:rsid w:val="14EF5EB2"/>
    <w:rsid w:val="14F1297E"/>
    <w:rsid w:val="14F26225"/>
    <w:rsid w:val="15023387"/>
    <w:rsid w:val="15051B66"/>
    <w:rsid w:val="151414F9"/>
    <w:rsid w:val="154C7AB0"/>
    <w:rsid w:val="155F4281"/>
    <w:rsid w:val="158035C7"/>
    <w:rsid w:val="15BC540D"/>
    <w:rsid w:val="16210B83"/>
    <w:rsid w:val="16583F2B"/>
    <w:rsid w:val="16912340"/>
    <w:rsid w:val="169D3E09"/>
    <w:rsid w:val="16AB3CAD"/>
    <w:rsid w:val="16E341B9"/>
    <w:rsid w:val="16F10A78"/>
    <w:rsid w:val="1712627E"/>
    <w:rsid w:val="17226BDD"/>
    <w:rsid w:val="17446813"/>
    <w:rsid w:val="177551EA"/>
    <w:rsid w:val="179B1D36"/>
    <w:rsid w:val="17C079EC"/>
    <w:rsid w:val="17F76BA3"/>
    <w:rsid w:val="182A66F0"/>
    <w:rsid w:val="182F656A"/>
    <w:rsid w:val="186A6524"/>
    <w:rsid w:val="186F767B"/>
    <w:rsid w:val="187F0353"/>
    <w:rsid w:val="188852B3"/>
    <w:rsid w:val="18DD0D85"/>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327EE5"/>
    <w:rsid w:val="1B462375"/>
    <w:rsid w:val="1B5E3B97"/>
    <w:rsid w:val="1C392A3A"/>
    <w:rsid w:val="1C4C1E84"/>
    <w:rsid w:val="1C880B67"/>
    <w:rsid w:val="1C923014"/>
    <w:rsid w:val="1CB1322F"/>
    <w:rsid w:val="1D4D4A00"/>
    <w:rsid w:val="1DC4038A"/>
    <w:rsid w:val="1DF36090"/>
    <w:rsid w:val="1DFE25B1"/>
    <w:rsid w:val="1E511FFA"/>
    <w:rsid w:val="1E752FA2"/>
    <w:rsid w:val="1E905ABA"/>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A5651D"/>
    <w:rsid w:val="21D24208"/>
    <w:rsid w:val="22044DFC"/>
    <w:rsid w:val="2241348F"/>
    <w:rsid w:val="226B1105"/>
    <w:rsid w:val="226B2F60"/>
    <w:rsid w:val="22813299"/>
    <w:rsid w:val="23194B67"/>
    <w:rsid w:val="232E1BCD"/>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247B4B"/>
    <w:rsid w:val="28341F0D"/>
    <w:rsid w:val="28481DD2"/>
    <w:rsid w:val="2892323E"/>
    <w:rsid w:val="289361DE"/>
    <w:rsid w:val="28E623FA"/>
    <w:rsid w:val="291C5E47"/>
    <w:rsid w:val="296D2D47"/>
    <w:rsid w:val="29CB46C2"/>
    <w:rsid w:val="29E253FB"/>
    <w:rsid w:val="29F77BA5"/>
    <w:rsid w:val="2A3A6E77"/>
    <w:rsid w:val="2A85024C"/>
    <w:rsid w:val="2B0D2F04"/>
    <w:rsid w:val="2B1D2572"/>
    <w:rsid w:val="2B206A2D"/>
    <w:rsid w:val="2B4C1179"/>
    <w:rsid w:val="2BD60481"/>
    <w:rsid w:val="2BEA3FA7"/>
    <w:rsid w:val="2C0D0D35"/>
    <w:rsid w:val="2C2E44D4"/>
    <w:rsid w:val="2C6F7203"/>
    <w:rsid w:val="2C7B6C71"/>
    <w:rsid w:val="2D357F0D"/>
    <w:rsid w:val="2D4E604F"/>
    <w:rsid w:val="2D5C2AB0"/>
    <w:rsid w:val="2D7A20E6"/>
    <w:rsid w:val="2DC57805"/>
    <w:rsid w:val="2DDA0493"/>
    <w:rsid w:val="2DDF08DF"/>
    <w:rsid w:val="2DFF79D8"/>
    <w:rsid w:val="2E32284C"/>
    <w:rsid w:val="2E367C56"/>
    <w:rsid w:val="2E440885"/>
    <w:rsid w:val="2EEE512C"/>
    <w:rsid w:val="2F462957"/>
    <w:rsid w:val="2F511B05"/>
    <w:rsid w:val="2F7C571D"/>
    <w:rsid w:val="2FA86B66"/>
    <w:rsid w:val="2FE823A5"/>
    <w:rsid w:val="2FEA1C57"/>
    <w:rsid w:val="300172B8"/>
    <w:rsid w:val="30945277"/>
    <w:rsid w:val="30C71DD4"/>
    <w:rsid w:val="30DC7CB1"/>
    <w:rsid w:val="30ED30CC"/>
    <w:rsid w:val="31064141"/>
    <w:rsid w:val="310D6AA3"/>
    <w:rsid w:val="31482B78"/>
    <w:rsid w:val="31B477DB"/>
    <w:rsid w:val="31B67BE2"/>
    <w:rsid w:val="31CA71DD"/>
    <w:rsid w:val="324E5138"/>
    <w:rsid w:val="331E21CE"/>
    <w:rsid w:val="33562A0D"/>
    <w:rsid w:val="33715F28"/>
    <w:rsid w:val="33F07155"/>
    <w:rsid w:val="340C6245"/>
    <w:rsid w:val="343C4522"/>
    <w:rsid w:val="347A0336"/>
    <w:rsid w:val="34F92D63"/>
    <w:rsid w:val="35527F1F"/>
    <w:rsid w:val="357914C0"/>
    <w:rsid w:val="35CA668A"/>
    <w:rsid w:val="35D721CD"/>
    <w:rsid w:val="36174333"/>
    <w:rsid w:val="364A3F09"/>
    <w:rsid w:val="364C3817"/>
    <w:rsid w:val="367A501B"/>
    <w:rsid w:val="368249AA"/>
    <w:rsid w:val="36EA501F"/>
    <w:rsid w:val="372D3763"/>
    <w:rsid w:val="375F4AE5"/>
    <w:rsid w:val="37A3423F"/>
    <w:rsid w:val="37A66325"/>
    <w:rsid w:val="37AF435B"/>
    <w:rsid w:val="37B82B0E"/>
    <w:rsid w:val="37D8509F"/>
    <w:rsid w:val="380178E9"/>
    <w:rsid w:val="38363F4B"/>
    <w:rsid w:val="385F5D57"/>
    <w:rsid w:val="386866FF"/>
    <w:rsid w:val="38803663"/>
    <w:rsid w:val="389A539F"/>
    <w:rsid w:val="38B37216"/>
    <w:rsid w:val="38BD5C7F"/>
    <w:rsid w:val="38C5580C"/>
    <w:rsid w:val="38EC325F"/>
    <w:rsid w:val="39090322"/>
    <w:rsid w:val="39286E54"/>
    <w:rsid w:val="399117DD"/>
    <w:rsid w:val="39972637"/>
    <w:rsid w:val="39D7104B"/>
    <w:rsid w:val="3A3E0D9F"/>
    <w:rsid w:val="3A5573DE"/>
    <w:rsid w:val="3AAB1306"/>
    <w:rsid w:val="3ABD0173"/>
    <w:rsid w:val="3ACE23E2"/>
    <w:rsid w:val="3B227AA7"/>
    <w:rsid w:val="3B4241C0"/>
    <w:rsid w:val="3B5F0280"/>
    <w:rsid w:val="3B8C1823"/>
    <w:rsid w:val="3BCD5A20"/>
    <w:rsid w:val="3BEE1D6F"/>
    <w:rsid w:val="3BF1473C"/>
    <w:rsid w:val="3CA475E5"/>
    <w:rsid w:val="3CA717F2"/>
    <w:rsid w:val="3CC56579"/>
    <w:rsid w:val="3CEB2CC9"/>
    <w:rsid w:val="3D053E44"/>
    <w:rsid w:val="3D721433"/>
    <w:rsid w:val="3D7C5D45"/>
    <w:rsid w:val="3DA34201"/>
    <w:rsid w:val="3DAB460B"/>
    <w:rsid w:val="3DDA7DB2"/>
    <w:rsid w:val="3DF92E01"/>
    <w:rsid w:val="3E342793"/>
    <w:rsid w:val="3E3C5235"/>
    <w:rsid w:val="3EA34B57"/>
    <w:rsid w:val="3ED604A2"/>
    <w:rsid w:val="3EEF1E6E"/>
    <w:rsid w:val="3F654598"/>
    <w:rsid w:val="3FEB6494"/>
    <w:rsid w:val="40571F31"/>
    <w:rsid w:val="40760623"/>
    <w:rsid w:val="408B7234"/>
    <w:rsid w:val="40E27AF7"/>
    <w:rsid w:val="40F80D82"/>
    <w:rsid w:val="41342A6B"/>
    <w:rsid w:val="414C7183"/>
    <w:rsid w:val="418D501C"/>
    <w:rsid w:val="41BB58E6"/>
    <w:rsid w:val="41C832C7"/>
    <w:rsid w:val="41E9167B"/>
    <w:rsid w:val="42416B50"/>
    <w:rsid w:val="4262379E"/>
    <w:rsid w:val="427A1188"/>
    <w:rsid w:val="4289200B"/>
    <w:rsid w:val="42C77562"/>
    <w:rsid w:val="432A5E11"/>
    <w:rsid w:val="433B1167"/>
    <w:rsid w:val="433E2DC7"/>
    <w:rsid w:val="435F500F"/>
    <w:rsid w:val="43C730CD"/>
    <w:rsid w:val="441D0975"/>
    <w:rsid w:val="44A567F5"/>
    <w:rsid w:val="453B1EBC"/>
    <w:rsid w:val="45635AEC"/>
    <w:rsid w:val="45BA54FA"/>
    <w:rsid w:val="45EC74A5"/>
    <w:rsid w:val="45FA6B69"/>
    <w:rsid w:val="460414DD"/>
    <w:rsid w:val="46332B60"/>
    <w:rsid w:val="4654705C"/>
    <w:rsid w:val="468C6A25"/>
    <w:rsid w:val="468D2C1F"/>
    <w:rsid w:val="468D3CA5"/>
    <w:rsid w:val="4694248B"/>
    <w:rsid w:val="46A32063"/>
    <w:rsid w:val="46EA7997"/>
    <w:rsid w:val="470243E7"/>
    <w:rsid w:val="471F1498"/>
    <w:rsid w:val="47271944"/>
    <w:rsid w:val="475C4BFE"/>
    <w:rsid w:val="47BB044C"/>
    <w:rsid w:val="47F95078"/>
    <w:rsid w:val="48262DE5"/>
    <w:rsid w:val="489C0A39"/>
    <w:rsid w:val="490747F7"/>
    <w:rsid w:val="49105C6D"/>
    <w:rsid w:val="496D185A"/>
    <w:rsid w:val="49C0281D"/>
    <w:rsid w:val="49E449BF"/>
    <w:rsid w:val="49EC77B8"/>
    <w:rsid w:val="49ED5B1C"/>
    <w:rsid w:val="4AD45EF1"/>
    <w:rsid w:val="4AE04A18"/>
    <w:rsid w:val="4B12455E"/>
    <w:rsid w:val="4B337454"/>
    <w:rsid w:val="4B407CC6"/>
    <w:rsid w:val="4B42232B"/>
    <w:rsid w:val="4B825A76"/>
    <w:rsid w:val="4B8B3702"/>
    <w:rsid w:val="4B9B0D7E"/>
    <w:rsid w:val="4B9C6F9C"/>
    <w:rsid w:val="4BC83B65"/>
    <w:rsid w:val="4BC87AB0"/>
    <w:rsid w:val="4C1454A4"/>
    <w:rsid w:val="4CA74E41"/>
    <w:rsid w:val="4CA91B51"/>
    <w:rsid w:val="4CB62537"/>
    <w:rsid w:val="4CD2365B"/>
    <w:rsid w:val="4CFB4E3C"/>
    <w:rsid w:val="4D352804"/>
    <w:rsid w:val="4D791805"/>
    <w:rsid w:val="4D8F2F88"/>
    <w:rsid w:val="4DB86BCB"/>
    <w:rsid w:val="4DD85058"/>
    <w:rsid w:val="4E0166A9"/>
    <w:rsid w:val="4E1551DB"/>
    <w:rsid w:val="4E7774D0"/>
    <w:rsid w:val="4F594843"/>
    <w:rsid w:val="4FAF3052"/>
    <w:rsid w:val="503C3BCC"/>
    <w:rsid w:val="505C4971"/>
    <w:rsid w:val="50C41CF1"/>
    <w:rsid w:val="51217DA6"/>
    <w:rsid w:val="51294703"/>
    <w:rsid w:val="51425A27"/>
    <w:rsid w:val="5158757E"/>
    <w:rsid w:val="521A5D1E"/>
    <w:rsid w:val="523624DE"/>
    <w:rsid w:val="52A23F56"/>
    <w:rsid w:val="52BA5471"/>
    <w:rsid w:val="52D871F4"/>
    <w:rsid w:val="52F263D6"/>
    <w:rsid w:val="52F569F3"/>
    <w:rsid w:val="52F737EA"/>
    <w:rsid w:val="53024EB7"/>
    <w:rsid w:val="53261795"/>
    <w:rsid w:val="5373268D"/>
    <w:rsid w:val="53953BE7"/>
    <w:rsid w:val="53F51637"/>
    <w:rsid w:val="54124FEF"/>
    <w:rsid w:val="541C4B67"/>
    <w:rsid w:val="552A2893"/>
    <w:rsid w:val="555A4FF2"/>
    <w:rsid w:val="556B045B"/>
    <w:rsid w:val="557D4E77"/>
    <w:rsid w:val="55C375DD"/>
    <w:rsid w:val="56156439"/>
    <w:rsid w:val="5656544C"/>
    <w:rsid w:val="56643532"/>
    <w:rsid w:val="568B5A7B"/>
    <w:rsid w:val="56EF2BB9"/>
    <w:rsid w:val="570A6E63"/>
    <w:rsid w:val="573B0118"/>
    <w:rsid w:val="573D2268"/>
    <w:rsid w:val="57411925"/>
    <w:rsid w:val="57441E32"/>
    <w:rsid w:val="57535542"/>
    <w:rsid w:val="575B3098"/>
    <w:rsid w:val="577F7188"/>
    <w:rsid w:val="57F55B90"/>
    <w:rsid w:val="580F191D"/>
    <w:rsid w:val="58276F84"/>
    <w:rsid w:val="58584813"/>
    <w:rsid w:val="58B728A2"/>
    <w:rsid w:val="58B868EB"/>
    <w:rsid w:val="590D059A"/>
    <w:rsid w:val="592802C2"/>
    <w:rsid w:val="5939327C"/>
    <w:rsid w:val="5978735A"/>
    <w:rsid w:val="59AF126F"/>
    <w:rsid w:val="59E42114"/>
    <w:rsid w:val="59E710C8"/>
    <w:rsid w:val="5A0B0AB5"/>
    <w:rsid w:val="5A1C59A1"/>
    <w:rsid w:val="5A407674"/>
    <w:rsid w:val="5A432974"/>
    <w:rsid w:val="5A6A20C5"/>
    <w:rsid w:val="5AD64AF2"/>
    <w:rsid w:val="5AEE39DB"/>
    <w:rsid w:val="5B046AEC"/>
    <w:rsid w:val="5B544EB3"/>
    <w:rsid w:val="5B6A33DD"/>
    <w:rsid w:val="5BD1484D"/>
    <w:rsid w:val="5BF04FFA"/>
    <w:rsid w:val="5C4D2649"/>
    <w:rsid w:val="5C8D6CFF"/>
    <w:rsid w:val="5C966EB6"/>
    <w:rsid w:val="5C9E007C"/>
    <w:rsid w:val="5CB9068F"/>
    <w:rsid w:val="5CBF6AE6"/>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EF56050"/>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8F4421"/>
    <w:rsid w:val="62CA4AF4"/>
    <w:rsid w:val="62E4371E"/>
    <w:rsid w:val="6306254B"/>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9E6788"/>
    <w:rsid w:val="66B368AE"/>
    <w:rsid w:val="66B532F3"/>
    <w:rsid w:val="66C2760F"/>
    <w:rsid w:val="675A3B6C"/>
    <w:rsid w:val="677C2796"/>
    <w:rsid w:val="67AF7DB6"/>
    <w:rsid w:val="680564C6"/>
    <w:rsid w:val="681B3F7A"/>
    <w:rsid w:val="68233428"/>
    <w:rsid w:val="684B51CE"/>
    <w:rsid w:val="68575061"/>
    <w:rsid w:val="68B54AF7"/>
    <w:rsid w:val="68CA009F"/>
    <w:rsid w:val="695B5920"/>
    <w:rsid w:val="69727257"/>
    <w:rsid w:val="69B35A0D"/>
    <w:rsid w:val="69CC607C"/>
    <w:rsid w:val="69EA1163"/>
    <w:rsid w:val="69F96768"/>
    <w:rsid w:val="6A287F98"/>
    <w:rsid w:val="6AB40496"/>
    <w:rsid w:val="6ABD1D5E"/>
    <w:rsid w:val="6AE81CC5"/>
    <w:rsid w:val="6AF33939"/>
    <w:rsid w:val="6B795D62"/>
    <w:rsid w:val="6BC747F5"/>
    <w:rsid w:val="6BD35CE4"/>
    <w:rsid w:val="6C3014BE"/>
    <w:rsid w:val="6C5D414F"/>
    <w:rsid w:val="6C635932"/>
    <w:rsid w:val="6CA324B4"/>
    <w:rsid w:val="6CC44B47"/>
    <w:rsid w:val="6CDE17FD"/>
    <w:rsid w:val="6D1D2C91"/>
    <w:rsid w:val="6D232D3C"/>
    <w:rsid w:val="6D2F5D1E"/>
    <w:rsid w:val="6D792112"/>
    <w:rsid w:val="6E641038"/>
    <w:rsid w:val="6EBD0EA6"/>
    <w:rsid w:val="6F2F5C01"/>
    <w:rsid w:val="6F435405"/>
    <w:rsid w:val="6F4810D8"/>
    <w:rsid w:val="6F6D2BAA"/>
    <w:rsid w:val="6F9119BB"/>
    <w:rsid w:val="6F9A4A47"/>
    <w:rsid w:val="701710D0"/>
    <w:rsid w:val="70795456"/>
    <w:rsid w:val="709946EC"/>
    <w:rsid w:val="70B256FB"/>
    <w:rsid w:val="72226A31"/>
    <w:rsid w:val="72702455"/>
    <w:rsid w:val="728F2E47"/>
    <w:rsid w:val="72973011"/>
    <w:rsid w:val="72E42D1B"/>
    <w:rsid w:val="734F0911"/>
    <w:rsid w:val="736054C4"/>
    <w:rsid w:val="736C572D"/>
    <w:rsid w:val="73A422EB"/>
    <w:rsid w:val="73BA60D2"/>
    <w:rsid w:val="74103E55"/>
    <w:rsid w:val="745B622A"/>
    <w:rsid w:val="74B64014"/>
    <w:rsid w:val="753E2D2E"/>
    <w:rsid w:val="75950E53"/>
    <w:rsid w:val="75B91B9C"/>
    <w:rsid w:val="75DB13A5"/>
    <w:rsid w:val="75E00376"/>
    <w:rsid w:val="75E552E3"/>
    <w:rsid w:val="762E2DED"/>
    <w:rsid w:val="7648538B"/>
    <w:rsid w:val="76577132"/>
    <w:rsid w:val="76BD747C"/>
    <w:rsid w:val="76CD52EB"/>
    <w:rsid w:val="76FE004A"/>
    <w:rsid w:val="771B17CC"/>
    <w:rsid w:val="77462C4C"/>
    <w:rsid w:val="77A268F6"/>
    <w:rsid w:val="77CC3658"/>
    <w:rsid w:val="780F54C3"/>
    <w:rsid w:val="782C6CF7"/>
    <w:rsid w:val="78680ECD"/>
    <w:rsid w:val="7880670B"/>
    <w:rsid w:val="78A25951"/>
    <w:rsid w:val="78A35FE5"/>
    <w:rsid w:val="78C4002B"/>
    <w:rsid w:val="78E96823"/>
    <w:rsid w:val="78EE7F5B"/>
    <w:rsid w:val="78F11CE1"/>
    <w:rsid w:val="78F66955"/>
    <w:rsid w:val="78F8423B"/>
    <w:rsid w:val="79053EDA"/>
    <w:rsid w:val="79097264"/>
    <w:rsid w:val="791D3993"/>
    <w:rsid w:val="79202162"/>
    <w:rsid w:val="7924138B"/>
    <w:rsid w:val="79826449"/>
    <w:rsid w:val="79D339B9"/>
    <w:rsid w:val="7A200C95"/>
    <w:rsid w:val="7A594332"/>
    <w:rsid w:val="7A8564DB"/>
    <w:rsid w:val="7AC22B97"/>
    <w:rsid w:val="7B190280"/>
    <w:rsid w:val="7B1F77A4"/>
    <w:rsid w:val="7B292799"/>
    <w:rsid w:val="7C090682"/>
    <w:rsid w:val="7C183634"/>
    <w:rsid w:val="7C351D89"/>
    <w:rsid w:val="7C6A6CA8"/>
    <w:rsid w:val="7C9307A3"/>
    <w:rsid w:val="7CE81F24"/>
    <w:rsid w:val="7CF04E00"/>
    <w:rsid w:val="7D41026F"/>
    <w:rsid w:val="7D59343F"/>
    <w:rsid w:val="7E0A78B3"/>
    <w:rsid w:val="7E2912F3"/>
    <w:rsid w:val="7F850D3B"/>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6480</Words>
  <Characters>6836</Characters>
  <Lines>52</Lines>
  <Paragraphs>14</Paragraphs>
  <TotalTime>17</TotalTime>
  <ScaleCrop>false</ScaleCrop>
  <LinksUpToDate>false</LinksUpToDate>
  <CharactersWithSpaces>7489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2022-04-09T07:11:26Z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2F354B162D734E3C8035C8C212E164E5</vt:lpwstr>
  </property>
</Properties>
</file>