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eastAsia="宋体"/>
                <w:sz w:val="24"/>
                <w:szCs w:val="24"/>
              </w:rPr>
              <w:t>无锡市新永大环保设备有限公司</w:t>
            </w:r>
            <w:bookmarkEnd w:id="0"/>
            <w:r>
              <w:rPr>
                <w:rFonts w:hint="eastAsia" w:eastAsia="宋体"/>
                <w:sz w:val="24"/>
                <w:szCs w:val="24"/>
              </w:rPr>
              <w:t>主管领导：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周晋  </w:t>
            </w:r>
            <w:r>
              <w:rPr>
                <w:rFonts w:hint="eastAsia" w:eastAsia="宋体"/>
                <w:sz w:val="24"/>
                <w:szCs w:val="24"/>
              </w:rPr>
              <w:t>陪同人员：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史锡良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 w:eastAsia="宋体"/>
                <w:sz w:val="24"/>
                <w:szCs w:val="24"/>
              </w:rPr>
              <w:t>喻荣秋</w:t>
            </w:r>
            <w:bookmarkEnd w:id="1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 w:eastAsia="宋体"/>
                <w:sz w:val="24"/>
                <w:szCs w:val="24"/>
              </w:rPr>
              <w:t>2022年0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宋体"/>
                <w:sz w:val="24"/>
                <w:szCs w:val="24"/>
              </w:rPr>
              <w:t>月0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/>
                <w:sz w:val="24"/>
                <w:szCs w:val="24"/>
              </w:rPr>
              <w:t>日 上午至2022年0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宋体"/>
                <w:sz w:val="24"/>
                <w:szCs w:val="24"/>
              </w:rPr>
              <w:t>月09日 下午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内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角色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、职责和权限</w:t>
            </w:r>
          </w:p>
          <w:p>
            <w:pPr>
              <w:spacing w:line="320" w:lineRule="exact"/>
            </w:pPr>
          </w:p>
        </w:tc>
        <w:tc>
          <w:tcPr>
            <w:tcW w:w="960" w:type="dxa"/>
            <w:vAlign w:val="top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Q5.3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行政部的主要职责：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1、确保《一体化管理体系》在本部门建立、实施，保持和有效改进；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2、完成本部门制定的销售和各项业绩考核计划；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3、根据公司的目标和战略，制定市场营销的策划方案，完成公司下达的任务；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4、制定本部门的培训计划；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5、授权负责与顾客签订合同，组织合同评审；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6、代表公司与顾客沟通及时反馈顾客要求；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7、对销售合同的售前、售中、售后进行跟踪服务，定期或不定期对客户进行回访；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8、建立顾客档案，按顾客的投诉，定期征求顾客的满意程度。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9、根据环境安全目标、指标，落实环境安全管理方案。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10、 负责公司文件的保管、使用申请、登记；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11、负责公司各种证件的保管、使用申请、登记、年检；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12、承办公司、部门文稿的起草、商务公文写作，协助各部门做好重要资料的录入、排版、打印等工作；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13、负责文件的登记、归档，保证原始资料及单据齐全完整，做好档案的借阅与索取、销毁和保密工作；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14、承办来往信函、邮件的收发和管理；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15、负责办公及劳保用品的发放和管理；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16、负责公司出勤率的考核；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17、承办部门固定资产、图书资料的购置、登记、分发、保养、维修；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18、承办公司会议的服务及接待：会前的准备工作、会议记录、会间的组织服务、会后的善后处理；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19、负责公司整体环境的布置；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20、全面负责一体化管理体系文件、资料、记录的归口管理工作；</w:t>
            </w: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21、组织对公司的环境因素和风险源识别、评价，制定管理方案；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22、制定内部审核计划，实施内部审核，并监督检查纠正措施的落实。</w:t>
            </w:r>
          </w:p>
          <w:p>
            <w:pPr>
              <w:spacing w:line="48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4"/>
              </w:rPr>
              <w:t>23、根据环境安全目标、指标，落实环境安全管理方案。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管理目标及其实现的策划</w:t>
            </w:r>
          </w:p>
          <w:p>
            <w:pPr>
              <w:spacing w:line="320" w:lineRule="exact"/>
            </w:pPr>
          </w:p>
        </w:tc>
        <w:tc>
          <w:tcPr>
            <w:tcW w:w="960" w:type="dxa"/>
            <w:vAlign w:val="top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Q6.2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</w:pPr>
          </w:p>
        </w:tc>
        <w:tc>
          <w:tcPr>
            <w:tcW w:w="10004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公司对管理体系所需的相关职能、层次和过程设定管理目标。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查到行政部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质量目标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</w:p>
          <w:tbl>
            <w:tblPr>
              <w:tblStyle w:val="7"/>
              <w:tblpPr w:leftFromText="180" w:rightFromText="180" w:vertAnchor="text" w:horzAnchor="page" w:tblpX="496" w:tblpY="326"/>
              <w:tblOverlap w:val="never"/>
              <w:tblW w:w="9179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"/>
              <w:gridCol w:w="678"/>
              <w:gridCol w:w="872"/>
              <w:gridCol w:w="692"/>
              <w:gridCol w:w="1320"/>
              <w:gridCol w:w="1117"/>
              <w:gridCol w:w="868"/>
              <w:gridCol w:w="886"/>
              <w:gridCol w:w="1302"/>
              <w:gridCol w:w="867"/>
              <w:gridCol w:w="573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917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2021年 目　标  完　成  统  计  表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133" w:hRule="atLeast"/>
              </w:trPr>
              <w:tc>
                <w:tcPr>
                  <w:tcW w:w="678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部门</w:t>
                  </w:r>
                </w:p>
              </w:tc>
              <w:tc>
                <w:tcPr>
                  <w:tcW w:w="872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目 标 值</w:t>
                  </w:r>
                </w:p>
              </w:tc>
              <w:tc>
                <w:tcPr>
                  <w:tcW w:w="692" w:type="dxa"/>
                  <w:tcBorders>
                    <w:top w:val="single" w:color="000000" w:sz="8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量化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测量方法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频次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4~6月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7~9月</w:t>
                  </w:r>
                </w:p>
              </w:tc>
              <w:tc>
                <w:tcPr>
                  <w:tcW w:w="1302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10~12月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实际完成情况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122" w:hRule="atLeast"/>
              </w:trPr>
              <w:tc>
                <w:tcPr>
                  <w:tcW w:w="678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72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1320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1117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68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1302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67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573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233" w:hRule="atLeast"/>
              </w:trPr>
              <w:tc>
                <w:tcPr>
                  <w:tcW w:w="678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行政部</w:t>
                  </w:r>
                </w:p>
              </w:tc>
              <w:tc>
                <w:tcPr>
                  <w:tcW w:w="872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培训计划完成率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Chars="1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Chars="2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培训数</w:t>
                  </w:r>
                  <w:r>
                    <w:rPr>
                      <w:rStyle w:val="13"/>
                      <w:rFonts w:eastAsia="宋体"/>
                      <w:sz w:val="15"/>
                      <w:szCs w:val="15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季度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1/1*100%=100%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2/2*100%=100%</w:t>
                  </w:r>
                </w:p>
              </w:tc>
              <w:tc>
                <w:tcPr>
                  <w:tcW w:w="1302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2/2*100%=100%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90" w:hRule="atLeast"/>
              </w:trPr>
              <w:tc>
                <w:tcPr>
                  <w:tcW w:w="67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7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69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计划数×</w:t>
                  </w:r>
                  <w:r>
                    <w:rPr>
                      <w:rStyle w:val="13"/>
                      <w:rFonts w:eastAsia="宋体"/>
                      <w:sz w:val="15"/>
                      <w:szCs w:val="15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117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6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130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67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57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233" w:hRule="atLeast"/>
              </w:trPr>
              <w:tc>
                <w:tcPr>
                  <w:tcW w:w="67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  <w:tc>
                <w:tcPr>
                  <w:tcW w:w="872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文件资料受控准确率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Chars="2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受控数</w:t>
                  </w:r>
                  <w:r>
                    <w:rPr>
                      <w:rStyle w:val="13"/>
                      <w:rFonts w:eastAsia="宋体"/>
                      <w:sz w:val="15"/>
                      <w:szCs w:val="15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季度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27/27*100%=100%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27/27*100%=100%</w:t>
                  </w:r>
                </w:p>
              </w:tc>
              <w:tc>
                <w:tcPr>
                  <w:tcW w:w="1302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27/27*100%=100%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4" w:type="dxa"/>
                <w:trHeight w:val="397" w:hRule="atLeast"/>
              </w:trPr>
              <w:tc>
                <w:tcPr>
                  <w:tcW w:w="678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7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69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文件数×</w:t>
                  </w:r>
                  <w:r>
                    <w:rPr>
                      <w:rStyle w:val="13"/>
                      <w:rFonts w:eastAsia="宋体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117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68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0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67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73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公司规定每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季度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由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行政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按公司管理目标考核要求统计考核公司管理目标完成情况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/>
                <w:szCs w:val="21"/>
              </w:rPr>
              <w:t>，提交管理评审会议。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目标均可量化可测量。20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30日目标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考核，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行政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管理目标均已完成。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60" w:type="dxa"/>
            <w:vAlign w:val="top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内部审核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</w:pPr>
          </w:p>
        </w:tc>
        <w:tc>
          <w:tcPr>
            <w:tcW w:w="960" w:type="dxa"/>
            <w:vAlign w:val="top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Q9.2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</w:pPr>
          </w:p>
        </w:tc>
        <w:tc>
          <w:tcPr>
            <w:tcW w:w="10004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行政部于2021年12月14-15日</w:t>
            </w:r>
            <w:r>
              <w:rPr>
                <w:rFonts w:hint="eastAsia"/>
              </w:rPr>
              <w:t>组织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 xml:space="preserve">公司质量管理体系内部审核，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年度审核计划：其内容已包括了审核目的、范围、</w:t>
            </w:r>
            <w:r>
              <w:rPr>
                <w:rFonts w:hint="eastAsia"/>
                <w:lang w:val="en-US" w:eastAsia="zh-CN"/>
              </w:rPr>
              <w:t>依据、时间安排等</w:t>
            </w:r>
          </w:p>
          <w:p>
            <w:pPr>
              <w:spacing w:line="320" w:lineRule="exact"/>
              <w:ind w:firstLine="420" w:firstLineChars="20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审核目的：组织按策划时间间隔进行内审，以确定质量管理体系是否符合策划的安排、符合ISO9001：2015标准的要求以及组织所确定的质量方针目标的要求，是否得到有效实施和保持。</w:t>
            </w:r>
          </w:p>
          <w:p>
            <w:pPr>
              <w:spacing w:line="320" w:lineRule="exact"/>
              <w:ind w:firstLine="420" w:firstLineChars="20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 xml:space="preserve">审核依据：GB/T19001-2016、公司质量手册、程序文件；有关法律法规等。 </w:t>
            </w:r>
          </w:p>
          <w:p>
            <w:pPr>
              <w:spacing w:line="320" w:lineRule="exact"/>
              <w:ind w:firstLine="420" w:firstLineChars="20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 xml:space="preserve"> 本次内审发现1个一般不符合项：行政部“未见合格供应商评定记录”。责任部门已分析了原因并采取了纠正措施，按要求进行了整改，最后内审员进行了验证，纠正措施实施有效。</w:t>
            </w:r>
          </w:p>
          <w:p>
            <w:pPr>
              <w:spacing w:line="320" w:lineRule="exact"/>
              <w:ind w:firstLine="420" w:firstLineChars="20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有《内部审核报告》，内部审核结论：，公司所建立的质量 管理体系运行正常，并得到保持，基本符合ISO9001：2015标准的要求，符合策划结果。通过体系运行产品实现过程得到控制，使过程管理更加规范化，满足顾客和法律法规的要求。内审基本符合。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4675" cy="2434590"/>
                  <wp:effectExtent l="0" t="0" r="14605" b="3810"/>
                  <wp:docPr id="1" name="图片 1" descr="164968152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49681523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243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/>
                <w:spacing w:val="-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Cs w:val="21"/>
              </w:rPr>
              <w:t>不合格和纠正措施</w:t>
            </w:r>
          </w:p>
          <w:p>
            <w:pPr>
              <w:spacing w:line="320" w:lineRule="exact"/>
            </w:pPr>
          </w:p>
        </w:tc>
        <w:tc>
          <w:tcPr>
            <w:tcW w:w="960" w:type="dxa"/>
            <w:vAlign w:val="top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Q10.2</w:t>
            </w:r>
          </w:p>
          <w:p>
            <w:pPr>
              <w:spacing w:line="320" w:lineRule="exact"/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  <w:lang w:val="en-US" w:eastAsia="zh-CN"/>
              </w:rPr>
              <w:t xml:space="preserve"> 有</w:t>
            </w:r>
            <w:r>
              <w:rPr>
                <w:rFonts w:hint="eastAsia"/>
                <w:color w:val="auto"/>
                <w:highlight w:val="none"/>
              </w:rPr>
              <w:t>《不符合和纠正措施控制程序》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有效文件。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公司在运行过程中对发现的不合格都会采取纠正、纠正措施以防止不合格或不符合再次发生，同时也会举一反三地看待其他部门或类似过程，采取预防措施以防止发生不合格或不符合。 公司对内审时发现的不符合项进行了原因分析、纠正措施和验证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内审问题进行了原因分析，制定纠正措施，整改并验证。</w:t>
            </w:r>
          </w:p>
          <w:p>
            <w:pPr>
              <w:snapToGrid w:val="0"/>
              <w:spacing w:line="320" w:lineRule="exact"/>
              <w:ind w:firstLine="420" w:firstLineChars="200"/>
              <w:jc w:val="left"/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公司对纠正及预防措施的管理基本符合要求。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val="en-US" w:eastAsia="zh-CN"/>
              </w:rPr>
              <w:t>分析与评价</w:t>
            </w:r>
          </w:p>
        </w:tc>
        <w:tc>
          <w:tcPr>
            <w:tcW w:w="960" w:type="dxa"/>
            <w:vAlign w:val="top"/>
          </w:tcPr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  <w:lang w:val="en-US" w:eastAsia="zh-CN"/>
              </w:rPr>
              <w:t>Q9.1.3</w:t>
            </w:r>
          </w:p>
        </w:tc>
        <w:tc>
          <w:tcPr>
            <w:tcW w:w="10004" w:type="dxa"/>
            <w:vAlign w:val="center"/>
          </w:tcPr>
          <w:p>
            <w:pPr>
              <w:spacing w:line="320" w:lineRule="exact"/>
              <w:ind w:firstLine="345" w:firstLineChars="150"/>
              <w:jc w:val="lef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公司有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《与顾客有关过程控制程序》、《绩效的监测和测量控制程序》、《测量、分析和改进控制程序》、《不合格品控制程序》等，有效文件。查见体系运行检查记录，对公司各部门的体系运行情况进行检查，有检查项目、检查结果、合格率、纠正措施。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其中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生产部工具齐全、工具摆放部分落地情况合格率85%，采取了纠正措施。</w:t>
            </w:r>
          </w:p>
          <w:p>
            <w:pPr>
              <w:spacing w:line="320" w:lineRule="exact"/>
              <w:ind w:firstLine="345" w:firstLineChars="150"/>
              <w:jc w:val="lef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2021年12月15日顾客满意度调查分析，结果为95%，改进措施：价格只打了80分，说明我们的价格需要降低。在以后服务中，我们将与供方协商，尽量减少采购成本，压缩各项开支，减少最终的售价，从而达到满足顾客要求的目地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风险与机遇评价与应对策划表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：对订单评审过程、交付和顾客反馈过程、内部审核过程、不合格管理过程、检验设备管理过程、制造过程、检验过程、采购过程等16项，进行了风险和机遇评价，有责任部门、实施日期，评价结果为有效。</w:t>
            </w:r>
          </w:p>
          <w:p>
            <w:pPr>
              <w:pStyle w:val="2"/>
              <w:jc w:val="left"/>
              <w:rPr>
                <w:rFonts w:hint="eastAsia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2021年2-3月</w:t>
            </w:r>
            <w:r>
              <w:rPr>
                <w:rFonts w:hint="eastAsia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分别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对江苏佑鼎流体控制设备制造有限公司、上海阀门五厂有限公司、江苏华亚电缆有限公司、常州锦泰添达贸易有限公司、上海垦盛环境科技发展有限公司</w:t>
            </w:r>
            <w:r>
              <w:rPr>
                <w:rFonts w:hint="eastAsia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进行了合格供方评审，结果合格。</w:t>
            </w:r>
          </w:p>
          <w:p>
            <w:pPr>
              <w:pStyle w:val="2"/>
              <w:jc w:val="left"/>
              <w:rPr>
                <w:rFonts w:hint="default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00713E7"/>
    <w:rsid w:val="27D8360B"/>
    <w:rsid w:val="302D33CD"/>
    <w:rsid w:val="3D962C2F"/>
    <w:rsid w:val="4B297E2B"/>
    <w:rsid w:val="548F0572"/>
    <w:rsid w:val="55716F03"/>
    <w:rsid w:val="65303B63"/>
    <w:rsid w:val="70FC2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1956</Words>
  <Characters>2217</Characters>
  <Lines>1</Lines>
  <Paragraphs>1</Paragraphs>
  <TotalTime>11</TotalTime>
  <ScaleCrop>false</ScaleCrop>
  <LinksUpToDate>false</LinksUpToDate>
  <CharactersWithSpaces>2265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2022-04-12T01:17:26Z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