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重庆深度视点展示服务有限公司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91500107762665260B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重庆深度视点展示服务有限公司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Q：展览、展示的策划</w:t>
            </w:r>
          </w:p>
          <w:p>
            <w:pPr>
              <w:snapToGrid w:val="0"/>
              <w:spacing w:line="0" w:lineRule="atLeast"/>
              <w:jc w:val="left"/>
              <w:rPr>
                <w:sz w:val="22"/>
                <w:szCs w:val="22"/>
              </w:rPr>
            </w:pPr>
            <w:r>
              <w:rPr>
                <w:sz w:val="22"/>
                <w:szCs w:val="22"/>
              </w:rPr>
              <w:t>E：展览、展示的策划所涉及场所的相关环境管理活动</w:t>
            </w:r>
          </w:p>
          <w:p>
            <w:pPr>
              <w:snapToGrid w:val="0"/>
              <w:spacing w:line="0" w:lineRule="atLeast"/>
              <w:jc w:val="left"/>
              <w:rPr>
                <w:sz w:val="22"/>
                <w:szCs w:val="22"/>
              </w:rPr>
            </w:pPr>
            <w:r>
              <w:rPr>
                <w:sz w:val="22"/>
                <w:szCs w:val="22"/>
              </w:rPr>
              <w:t>O：展览、展示的策划所涉及场所的相关职业健康安全管理活动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重庆市九龙坡区科园一路73号F座20-4号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重庆市九龙坡区科园一路73号F座20-4号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s="Arial"/>
                <w:b/>
                <w:bCs/>
                <w:color w:val="000000" w:themeColor="text1"/>
                <w:sz w:val="22"/>
                <w:szCs w:val="16"/>
                <w14:textFill>
                  <w14:solidFill>
                    <w14:schemeClr w14:val="tx1"/>
                  </w14:solidFill>
                </w14:textFill>
              </w:rPr>
              <w:t xml:space="preserve">Chongqing </w:t>
            </w:r>
            <w:r>
              <w:rPr>
                <w:rFonts w:hint="eastAsia" w:cs="Arial"/>
                <w:b/>
                <w:bCs/>
                <w:color w:val="000000" w:themeColor="text1"/>
                <w:sz w:val="22"/>
                <w:szCs w:val="16"/>
                <w:lang w:val="en-US" w:eastAsia="zh-CN"/>
                <w14:textFill>
                  <w14:solidFill>
                    <w14:schemeClr w14:val="tx1"/>
                  </w14:solidFill>
                </w14:textFill>
              </w:rPr>
              <w:t>depth</w:t>
            </w:r>
            <w:r>
              <w:rPr>
                <w:rFonts w:hint="eastAsia" w:cs="Arial"/>
                <w:b/>
                <w:bCs/>
                <w:color w:val="000000" w:themeColor="text1"/>
                <w:sz w:val="22"/>
                <w:szCs w:val="16"/>
                <w14:textFill>
                  <w14:solidFill>
                    <w14:schemeClr w14:val="tx1"/>
                  </w14:solidFill>
                </w14:textFill>
              </w:rPr>
              <w:t xml:space="preserve"> view display Service Co., Ltd</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2"/>
                <w:szCs w:val="22"/>
                <w14:textFill>
                  <w14:solidFill>
                    <w14:schemeClr w14:val="tx1"/>
                  </w14:solidFill>
                </w14:textFill>
              </w:rPr>
              <w:t>Exhibition and exhibition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1"/>
                <w:szCs w:val="16"/>
                <w14:textFill>
                  <w14:solidFill>
                    <w14:schemeClr w14:val="tx1"/>
                  </w14:solidFill>
                </w14:textFill>
              </w:rPr>
              <w:t>Relevant environmental management activities of the places involved in the planning of exhibitions and exhibitions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s="Arial"/>
                <w:b/>
                <w:bCs/>
                <w:color w:val="000000" w:themeColor="text1"/>
                <w:sz w:val="22"/>
                <w:szCs w:val="16"/>
                <w14:textFill>
                  <w14:solidFill>
                    <w14:schemeClr w14:val="tx1"/>
                  </w14:solidFill>
                </w14:textFill>
              </w:rPr>
              <w:t>No. 20-4, block F, No. 73, Keyuan 1st Road, Jiulongpo District, Chongqing</w:t>
            </w:r>
            <w:bookmarkStart w:id="21" w:name="_GoBack"/>
            <w:bookmarkEnd w:id="21"/>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OHSMS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Relevant occupational health and safety management activities of the places involved in the planning of exhibitions and exhibitions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EnMS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s="Arial"/>
                <w:b/>
                <w:bCs/>
                <w:color w:val="000000" w:themeColor="text1"/>
                <w:sz w:val="22"/>
                <w:szCs w:val="16"/>
                <w14:textFill>
                  <w14:solidFill>
                    <w14:schemeClr w14:val="tx1"/>
                  </w14:solidFill>
                </w14:textFill>
              </w:rPr>
              <w:t>No. 20-4, block F, No. 73, Keyuan 1st Road, Jiulongpo District, Chongqing</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FSMS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HACCP</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CD75C0"/>
    <w:rsid w:val="61C73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16</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2022-03-28T06:41:44Z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