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0262-2022-QEO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重庆深度视点展示服务有限公司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2022年03月28日 上午至2022年03月28日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rFonts w:ascii="Times New Roman" w:hAnsi="Times New Roman" w:eastAsia="宋体" w:cs="Times New Roman"/>
                <w:kern w:val="2"/>
                <w:sz w:val="21"/>
                <w:szCs w:val="21"/>
                <w:lang w:val="en-US" w:eastAsia="zh-CN" w:bidi="ar-SA"/>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hAnsi="Times New Roman" w:eastAsia="宋体" w:cs="Times New Roman"/>
                <w:b/>
                <w:kern w:val="2"/>
                <w:sz w:val="21"/>
                <w:szCs w:val="21"/>
                <w:lang w:val="en-US" w:eastAsia="zh-CN" w:bidi="ar-SA"/>
              </w:rPr>
            </w:pPr>
            <w:r>
              <w:rPr>
                <w:rFonts w:hint="eastAsia" w:ascii="宋体"/>
                <w:b/>
                <w:szCs w:val="21"/>
              </w:rPr>
              <w:t>□单一体系审核□结合审核</w:t>
            </w:r>
            <w:r>
              <w:rPr>
                <w:rFonts w:hint="eastAsia" w:ascii="宋体" w:hAnsi="宋体" w:eastAsia="宋体" w:cs="宋体"/>
                <w:b/>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hAnsi="Times New Roman" w:eastAsia="宋体" w:cs="Times New Roman"/>
                <w:b/>
                <w:color w:val="000000"/>
                <w:kern w:val="2"/>
                <w:sz w:val="21"/>
                <w:szCs w:val="21"/>
                <w:lang w:val="en-US" w:eastAsia="zh-CN" w:bidi="ar-SA"/>
              </w:rPr>
            </w:pPr>
            <w:r>
              <w:rPr>
                <w:rFonts w:hint="eastAsia" w:ascii="宋体" w:hAnsi="宋体" w:eastAsia="宋体" w:cs="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重庆市九龙坡区科园一路73号F座20-4号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372"/>
        <w:gridCol w:w="163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372" w:type="dxa"/>
            <w:vAlign w:val="center"/>
          </w:tcPr>
          <w:p>
            <w:pPr>
              <w:spacing w:line="240" w:lineRule="exact"/>
              <w:jc w:val="center"/>
              <w:rPr>
                <w:b/>
                <w:color w:val="000000"/>
                <w:szCs w:val="21"/>
              </w:rPr>
            </w:pPr>
            <w:r>
              <w:rPr>
                <w:rFonts w:hint="eastAsia"/>
                <w:szCs w:val="21"/>
              </w:rPr>
              <w:t>审核员注册证书号</w:t>
            </w:r>
          </w:p>
        </w:tc>
        <w:tc>
          <w:tcPr>
            <w:tcW w:w="1638"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372"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638" w:type="dxa"/>
            <w:vAlign w:val="center"/>
          </w:tcPr>
          <w:p>
            <w:pPr>
              <w:spacing w:line="240" w:lineRule="exact"/>
              <w:jc w:val="center"/>
              <w:rPr>
                <w:b/>
                <w:color w:val="000000"/>
                <w:szCs w:val="21"/>
              </w:rPr>
            </w:pPr>
            <w:r>
              <w:rPr>
                <w:b/>
                <w:color w:val="000000"/>
                <w:szCs w:val="21"/>
              </w:rPr>
              <w:t>Q:35.20.00</w:t>
            </w:r>
          </w:p>
          <w:p>
            <w:pPr>
              <w:spacing w:line="240" w:lineRule="exact"/>
              <w:jc w:val="center"/>
              <w:rPr>
                <w:b/>
                <w:color w:val="000000"/>
                <w:szCs w:val="21"/>
              </w:rPr>
            </w:pPr>
            <w:r>
              <w:rPr>
                <w:b/>
                <w:color w:val="000000"/>
                <w:szCs w:val="21"/>
              </w:rPr>
              <w:t>E:35.20.00</w:t>
            </w:r>
          </w:p>
          <w:p>
            <w:pPr>
              <w:spacing w:line="240" w:lineRule="exact"/>
              <w:jc w:val="center"/>
              <w:rPr>
                <w:b/>
                <w:color w:val="000000"/>
                <w:szCs w:val="21"/>
              </w:rPr>
            </w:pPr>
            <w:r>
              <w:rPr>
                <w:b/>
                <w:color w:val="000000"/>
                <w:szCs w:val="21"/>
              </w:rPr>
              <w:t>O:35.20.00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372" w:type="dxa"/>
            <w:vAlign w:val="center"/>
          </w:tcPr>
          <w:p>
            <w:pPr>
              <w:rPr>
                <w:b/>
                <w:color w:val="000000"/>
                <w:szCs w:val="21"/>
              </w:rPr>
            </w:pPr>
          </w:p>
        </w:tc>
        <w:tc>
          <w:tcPr>
            <w:tcW w:w="1638"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372" w:type="dxa"/>
            <w:vAlign w:val="center"/>
          </w:tcPr>
          <w:p>
            <w:pPr>
              <w:rPr>
                <w:b/>
                <w:color w:val="000000"/>
                <w:szCs w:val="21"/>
              </w:rPr>
            </w:pPr>
          </w:p>
        </w:tc>
        <w:tc>
          <w:tcPr>
            <w:tcW w:w="1638"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372" w:type="dxa"/>
            <w:vAlign w:val="center"/>
          </w:tcPr>
          <w:p>
            <w:pPr>
              <w:rPr>
                <w:b/>
                <w:color w:val="000000"/>
                <w:szCs w:val="21"/>
              </w:rPr>
            </w:pPr>
            <w:r>
              <w:rPr>
                <w:rFonts w:hint="eastAsia"/>
                <w:b/>
                <w:color w:val="000000"/>
                <w:szCs w:val="21"/>
              </w:rPr>
              <w:t>工作单位</w:t>
            </w:r>
          </w:p>
        </w:tc>
        <w:tc>
          <w:tcPr>
            <w:tcW w:w="2726"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372" w:type="dxa"/>
            <w:vAlign w:val="center"/>
          </w:tcPr>
          <w:p>
            <w:pPr>
              <w:rPr>
                <w:b/>
                <w:color w:val="000000"/>
                <w:szCs w:val="21"/>
              </w:rPr>
            </w:pPr>
          </w:p>
        </w:tc>
        <w:tc>
          <w:tcPr>
            <w:tcW w:w="2726"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372" w:type="dxa"/>
            <w:vAlign w:val="center"/>
          </w:tcPr>
          <w:p>
            <w:pPr>
              <w:rPr>
                <w:b/>
                <w:color w:val="000000"/>
                <w:szCs w:val="21"/>
                <w:highlight w:val="green"/>
              </w:rPr>
            </w:pPr>
          </w:p>
        </w:tc>
        <w:tc>
          <w:tcPr>
            <w:tcW w:w="2726"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重庆深度视点展示服务有限公司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重庆市九龙坡区科园一路73号F座20-4号</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400000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生产地址"/>
            <w:bookmarkStart w:id="21" w:name="办公地址"/>
            <w:r>
              <w:rPr>
                <w:rFonts w:ascii="宋体"/>
                <w:b/>
                <w:color w:val="000000"/>
                <w:szCs w:val="21"/>
              </w:rPr>
              <w:t>重庆市九龙坡区科园一路73号F座20-4号</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400000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陈安辉</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17723173116</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齐梦</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齐梦</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cs="宋体"/>
                <w:color w:val="000000"/>
                <w:kern w:val="0"/>
                <w:szCs w:val="21"/>
              </w:rPr>
              <w:t>展览、展示的策划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hint="eastAsia" w:ascii="宋体" w:hAnsi="宋体" w:eastAsia="宋体" w:cs="Times New Roman"/>
                <w:color w:val="000000"/>
                <w:szCs w:val="21"/>
              </w:rPr>
            </w:pPr>
            <w:r>
              <w:rPr>
                <w:rFonts w:hint="eastAsia" w:ascii="宋体" w:hAnsi="宋体" w:eastAsia="宋体" w:cs="Times New Roman"/>
                <w:color w:val="000000"/>
                <w:szCs w:val="21"/>
              </w:rPr>
              <w:t>生产/服务提供流程简图</w:t>
            </w:r>
          </w:p>
          <w:p>
            <w:pPr>
              <w:tabs>
                <w:tab w:val="left" w:pos="0"/>
              </w:tabs>
              <w:rPr>
                <w:rFonts w:hint="eastAsia" w:ascii="宋体" w:hAnsi="宋体" w:eastAsia="宋体" w:cs="Times New Roman"/>
                <w:color w:val="000000"/>
                <w:szCs w:val="21"/>
              </w:rPr>
            </w:pPr>
          </w:p>
          <w:p>
            <w:pPr>
              <w:tabs>
                <w:tab w:val="left" w:pos="0"/>
              </w:tabs>
              <w:rPr>
                <w:rFonts w:hint="eastAsia" w:ascii="宋体" w:hAnsi="宋体" w:eastAsia="宋体" w:cs="Times New Roman"/>
                <w:color w:val="000000"/>
                <w:szCs w:val="21"/>
              </w:rPr>
            </w:pPr>
          </w:p>
        </w:tc>
        <w:tc>
          <w:tcPr>
            <w:tcW w:w="8058" w:type="dxa"/>
            <w:gridSpan w:val="7"/>
            <w:shd w:val="clear" w:color="auto" w:fill="auto"/>
          </w:tcPr>
          <w:p>
            <w:pPr>
              <w:tabs>
                <w:tab w:val="left" w:pos="0"/>
              </w:tabs>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流程</w:t>
            </w:r>
            <w:r>
              <w:rPr>
                <w:rFonts w:hint="eastAsia" w:ascii="宋体" w:hAnsi="宋体" w:eastAsia="宋体" w:cs="Times New Roman"/>
                <w:color w:val="000000"/>
                <w:szCs w:val="21"/>
                <w:lang w:val="en-US" w:eastAsia="zh-CN"/>
              </w:rPr>
              <w:t>图：</w:t>
            </w:r>
          </w:p>
          <w:p>
            <w:pPr>
              <w:tabs>
                <w:tab w:val="left" w:pos="0"/>
              </w:tabs>
              <w:rPr>
                <w:rFonts w:hint="eastAsia" w:ascii="宋体" w:hAnsi="宋体" w:eastAsia="宋体" w:cs="Times New Roman"/>
                <w:color w:val="000000"/>
                <w:szCs w:val="21"/>
                <w:lang w:val="zh-CN" w:eastAsia="zh-CN"/>
              </w:rPr>
            </w:pPr>
            <w:r>
              <w:rPr>
                <w:rFonts w:hint="eastAsia" w:ascii="宋体" w:hAnsi="宋体" w:eastAsia="宋体" w:cs="Times New Roman"/>
                <w:color w:val="000000"/>
                <w:szCs w:val="21"/>
                <w:lang w:val="zh-CN" w:eastAsia="zh-CN"/>
              </w:rPr>
              <w:t>合同签订-</w:t>
            </w:r>
            <w:r>
              <w:rPr>
                <w:rFonts w:hint="eastAsia" w:ascii="宋体" w:hAnsi="宋体" w:eastAsia="宋体" w:cs="Times New Roman"/>
                <w:color w:val="000000"/>
                <w:szCs w:val="21"/>
                <w:lang w:val="en-US" w:eastAsia="zh-CN"/>
              </w:rPr>
              <w:t>调研、需求分析</w:t>
            </w:r>
            <w:r>
              <w:rPr>
                <w:rFonts w:hint="eastAsia" w:ascii="宋体" w:hAnsi="宋体" w:eastAsia="宋体" w:cs="Times New Roman"/>
                <w:color w:val="000000"/>
                <w:szCs w:val="21"/>
                <w:lang w:val="zh-CN" w:eastAsia="zh-CN"/>
              </w:rPr>
              <w:t>--方案设计-初步设计-施工图设计-评审</w:t>
            </w:r>
            <w:r>
              <w:rPr>
                <w:rFonts w:hint="eastAsia" w:ascii="宋体" w:hAnsi="宋体" w:eastAsia="宋体" w:cs="Times New Roman"/>
                <w:color w:val="000000"/>
                <w:szCs w:val="21"/>
                <w:lang w:val="en-US" w:eastAsia="zh-CN"/>
              </w:rPr>
              <w:t>--</w:t>
            </w:r>
            <w:r>
              <w:rPr>
                <w:rFonts w:hint="eastAsia" w:ascii="宋体" w:hAnsi="宋体" w:eastAsia="宋体" w:cs="Times New Roman"/>
                <w:color w:val="000000"/>
                <w:szCs w:val="21"/>
                <w:lang w:val="zh-CN" w:eastAsia="zh-CN"/>
              </w:rPr>
              <w:t>设计变更（需要时）-交付客户</w:t>
            </w:r>
          </w:p>
          <w:p>
            <w:pPr>
              <w:tabs>
                <w:tab w:val="left" w:pos="0"/>
              </w:tabs>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widowControl/>
              <w:jc w:val="left"/>
              <w:rPr>
                <w:rFonts w:ascii="宋体" w:hAnsi="宋体"/>
                <w:b/>
                <w:color w:val="000000"/>
                <w:szCs w:val="21"/>
              </w:rPr>
            </w:pPr>
            <w:r>
              <w:rPr>
                <w:rFonts w:hint="eastAsia" w:ascii="宋体" w:hAnsi="宋体" w:cs="宋体"/>
                <w:color w:val="000000"/>
                <w:kern w:val="0"/>
                <w:szCs w:val="21"/>
              </w:rPr>
              <w:t>展览、展示的策划</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widowControl/>
              <w:jc w:val="left"/>
              <w:rPr>
                <w:rFonts w:ascii="宋体" w:hAnsi="宋体"/>
                <w:b/>
                <w:color w:val="000000"/>
                <w:szCs w:val="21"/>
              </w:rPr>
            </w:pPr>
            <w:r>
              <w:rPr>
                <w:rFonts w:hint="eastAsia" w:ascii="宋体" w:hAnsi="宋体" w:cs="宋体"/>
                <w:color w:val="000000"/>
                <w:kern w:val="0"/>
                <w:szCs w:val="21"/>
              </w:rPr>
              <w:t>展览、展示的策划所涉及场所的相关环境管理活动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展览、展示的策划所涉及场所的相关职业健康安全管理活动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现场服务与申请范围是否一致：</w:t>
            </w:r>
          </w:p>
        </w:tc>
        <w:tc>
          <w:tcPr>
            <w:tcW w:w="988" w:type="dxa"/>
            <w:gridSpan w:val="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vAlign w:val="top"/>
          </w:tcPr>
          <w:p>
            <w:pPr>
              <w:rPr>
                <w:rFonts w:ascii="宋体" w:hAnsi="Times New Roman" w:eastAsia="宋体" w:cs="Times New Roman"/>
                <w:color w:val="000000"/>
                <w:spacing w:val="-10"/>
                <w:kern w:val="2"/>
                <w:sz w:val="21"/>
                <w:szCs w:val="21"/>
                <w:lang w:val="en-US" w:eastAsia="zh-CN" w:bidi="ar-SA"/>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36"/>
        <w:gridCol w:w="2098"/>
        <w:gridCol w:w="571"/>
        <w:gridCol w:w="1525"/>
        <w:gridCol w:w="194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436"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98"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525"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4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36" w:type="dxa"/>
          </w:tcPr>
          <w:p>
            <w:pPr>
              <w:spacing w:before="40" w:after="40"/>
              <w:rPr>
                <w:rFonts w:hint="eastAsia" w:eastAsia="宋体"/>
                <w:szCs w:val="21"/>
                <w:lang w:val="en-US" w:eastAsia="zh-CN"/>
              </w:rPr>
            </w:pPr>
            <w:r>
              <w:rPr>
                <w:rFonts w:hint="eastAsia" w:ascii="宋体" w:hAnsi="宋体" w:cs="宋体"/>
                <w:color w:val="000000"/>
                <w:kern w:val="0"/>
                <w:szCs w:val="21"/>
              </w:rPr>
              <w:t>重庆深度视点展示服务有限公司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重庆市九龙坡区科园一路73号F座20-4号</w:t>
            </w:r>
          </w:p>
        </w:tc>
        <w:tc>
          <w:tcPr>
            <w:tcW w:w="2098" w:type="dxa"/>
          </w:tcPr>
          <w:p>
            <w:pPr>
              <w:spacing w:before="40" w:after="40"/>
              <w:rPr>
                <w:rFonts w:eastAsia="黑体"/>
                <w:szCs w:val="21"/>
                <w:lang w:val="de-DE" w:eastAsia="ja-JP"/>
              </w:rPr>
            </w:pPr>
            <w:r>
              <w:rPr>
                <w:rFonts w:hint="eastAsia" w:ascii="宋体" w:hAnsi="宋体" w:cs="宋体"/>
                <w:color w:val="000000"/>
                <w:kern w:val="0"/>
                <w:szCs w:val="21"/>
              </w:rPr>
              <w:t>重庆市九龙坡区科园一路73号F座20-4号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1525" w:type="dxa"/>
            <w:vAlign w:val="center"/>
          </w:tcPr>
          <w:p>
            <w:pPr>
              <w:pStyle w:val="21"/>
              <w:rPr>
                <w:rFonts w:eastAsia="黑体" w:cs="Arial"/>
                <w:sz w:val="21"/>
                <w:szCs w:val="21"/>
                <w:lang w:val="en-US" w:eastAsia="ja-JP"/>
              </w:rPr>
            </w:pPr>
            <w:r>
              <w:rPr>
                <w:rFonts w:hint="eastAsia" w:ascii="宋体" w:hAnsi="宋体" w:cs="宋体"/>
                <w:color w:val="000000"/>
                <w:kern w:val="0"/>
                <w:szCs w:val="21"/>
              </w:rPr>
              <w:t>展览、展示的策划</w:t>
            </w:r>
          </w:p>
        </w:tc>
        <w:tc>
          <w:tcPr>
            <w:tcW w:w="1947" w:type="dxa"/>
            <w:vAlign w:val="top"/>
          </w:tcPr>
          <w:p>
            <w:pPr>
              <w:spacing w:before="40" w:after="40"/>
              <w:rPr>
                <w:rFonts w:hint="eastAsia" w:ascii="宋体" w:hAnsi="宋体"/>
                <w:b w:val="0"/>
                <w:bCs/>
                <w:szCs w:val="21"/>
              </w:rPr>
            </w:pPr>
            <w:r>
              <w:rPr>
                <w:rFonts w:hint="eastAsia" w:ascii="宋体" w:hAnsi="宋体"/>
                <w:b w:val="0"/>
                <w:bCs/>
                <w:szCs w:val="21"/>
              </w:rPr>
              <w:t>GB/T19001-2016</w:t>
            </w:r>
          </w:p>
          <w:p>
            <w:pPr>
              <w:spacing w:before="40" w:after="40"/>
              <w:rPr>
                <w:rFonts w:hint="eastAsia" w:ascii="宋体" w:hAnsi="宋体"/>
                <w:b w:val="0"/>
                <w:bCs/>
                <w:szCs w:val="21"/>
              </w:rPr>
            </w:pPr>
            <w:r>
              <w:rPr>
                <w:rFonts w:hint="eastAsia" w:ascii="宋体" w:hAnsi="宋体"/>
                <w:b w:val="0"/>
                <w:bCs/>
                <w:szCs w:val="21"/>
              </w:rPr>
              <w:t>GB/T24001-2016</w:t>
            </w:r>
          </w:p>
          <w:p>
            <w:pPr>
              <w:rPr>
                <w:rFonts w:ascii="Times New Roman" w:hAnsi="Times New Roman" w:eastAsia="黑体" w:cs="Times New Roman"/>
                <w:b w:val="0"/>
                <w:bCs/>
                <w:kern w:val="2"/>
                <w:sz w:val="21"/>
                <w:szCs w:val="21"/>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436" w:type="dxa"/>
            <w:vAlign w:val="center"/>
          </w:tcPr>
          <w:p>
            <w:pPr>
              <w:spacing w:before="40" w:after="40"/>
              <w:rPr>
                <w:rFonts w:eastAsia="黑体"/>
                <w:szCs w:val="21"/>
                <w:lang w:eastAsia="ja-JP"/>
              </w:rPr>
            </w:pPr>
          </w:p>
        </w:tc>
        <w:tc>
          <w:tcPr>
            <w:tcW w:w="2098"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525" w:type="dxa"/>
            <w:vAlign w:val="center"/>
          </w:tcPr>
          <w:p>
            <w:pPr>
              <w:spacing w:before="40" w:after="40"/>
              <w:rPr>
                <w:rFonts w:eastAsia="黑体"/>
                <w:szCs w:val="21"/>
                <w:lang w:eastAsia="ja-JP"/>
              </w:rPr>
            </w:pPr>
          </w:p>
        </w:tc>
        <w:tc>
          <w:tcPr>
            <w:tcW w:w="1947"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436" w:type="dxa"/>
            <w:vAlign w:val="center"/>
          </w:tcPr>
          <w:p>
            <w:pPr>
              <w:spacing w:before="40" w:after="40"/>
              <w:rPr>
                <w:rFonts w:eastAsia="黑体"/>
                <w:szCs w:val="21"/>
                <w:lang w:eastAsia="ja-JP"/>
              </w:rPr>
            </w:pPr>
          </w:p>
        </w:tc>
        <w:tc>
          <w:tcPr>
            <w:tcW w:w="2098"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525" w:type="dxa"/>
            <w:vAlign w:val="center"/>
          </w:tcPr>
          <w:p>
            <w:pPr>
              <w:spacing w:before="40" w:after="40"/>
              <w:rPr>
                <w:rFonts w:eastAsia="黑体"/>
                <w:szCs w:val="21"/>
                <w:lang w:eastAsia="ja-JP"/>
              </w:rPr>
            </w:pPr>
          </w:p>
        </w:tc>
        <w:tc>
          <w:tcPr>
            <w:tcW w:w="1947"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1"/>
        <w:gridCol w:w="1194"/>
        <w:gridCol w:w="146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194"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194"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194"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194"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194"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194"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194"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194"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r>
              <w:rPr>
                <w:rFonts w:hint="eastAsia" w:ascii="宋体" w:hAnsi="宋体"/>
                <w:color w:val="000000"/>
                <w:szCs w:val="21"/>
                <w:lang w:val="en-US" w:eastAsia="zh-CN"/>
              </w:rPr>
              <w:t>,变更</w:t>
            </w:r>
            <w:r>
              <w:rPr>
                <w:rFonts w:hint="eastAsia" w:ascii="宋体" w:hAnsi="宋体"/>
                <w:color w:val="000000"/>
                <w:szCs w:val="21"/>
              </w:rPr>
              <w:t xml:space="preserve">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194"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194"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pPr w:leftFromText="180" w:rightFromText="180" w:vertAnchor="text" w:horzAnchor="page" w:tblpX="1214" w:tblpY="500"/>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10.</w:t>
            </w:r>
            <w:r>
              <w:rPr>
                <w:rFonts w:hint="eastAsia" w:ascii="宋体" w:hAnsi="宋体"/>
                <w:b/>
                <w:color w:val="000000"/>
                <w:szCs w:val="21"/>
                <w:highlight w:val="none"/>
                <w:u w:val="single"/>
              </w:rPr>
              <w:t>于</w:t>
            </w:r>
            <w:r>
              <w:rPr>
                <w:rFonts w:hint="eastAsia" w:ascii="宋体" w:hAnsi="宋体"/>
                <w:b/>
                <w:color w:val="000000"/>
                <w:szCs w:val="21"/>
                <w:highlight w:val="none"/>
                <w:u w:val="single"/>
                <w:lang w:eastAsia="zh-CN"/>
              </w:rPr>
              <w:t>20</w:t>
            </w:r>
            <w:r>
              <w:rPr>
                <w:rFonts w:hint="eastAsia" w:ascii="宋体" w:hAnsi="宋体"/>
                <w:b/>
                <w:color w:val="000000"/>
                <w:szCs w:val="21"/>
                <w:highlight w:val="none"/>
                <w:u w:val="single"/>
                <w:lang w:val="en-US" w:eastAsia="zh-CN"/>
              </w:rPr>
              <w:t>21</w:t>
            </w:r>
            <w:r>
              <w:rPr>
                <w:rFonts w:hint="eastAsia" w:ascii="宋体" w:hAnsi="宋体"/>
                <w:b/>
                <w:color w:val="000000"/>
                <w:szCs w:val="21"/>
                <w:highlight w:val="none"/>
                <w:u w:val="single"/>
                <w:lang w:eastAsia="zh-CN"/>
              </w:rPr>
              <w:t>年</w:t>
            </w:r>
            <w:r>
              <w:rPr>
                <w:rFonts w:hint="eastAsia" w:ascii="宋体" w:hAnsi="宋体"/>
                <w:b/>
                <w:color w:val="000000"/>
                <w:szCs w:val="21"/>
                <w:highlight w:val="none"/>
                <w:u w:val="single"/>
                <w:lang w:val="en-US" w:eastAsia="zh-CN"/>
              </w:rPr>
              <w:t>10</w:t>
            </w:r>
            <w:r>
              <w:rPr>
                <w:rFonts w:hint="eastAsia" w:ascii="宋体" w:hAnsi="宋体"/>
                <w:b/>
                <w:color w:val="000000"/>
                <w:szCs w:val="21"/>
                <w:highlight w:val="none"/>
                <w:u w:val="single"/>
                <w:lang w:eastAsia="zh-CN"/>
              </w:rPr>
              <w:t>月1</w:t>
            </w:r>
            <w:r>
              <w:rPr>
                <w:rFonts w:hint="eastAsia" w:ascii="宋体" w:hAnsi="宋体"/>
                <w:b/>
                <w:color w:val="000000"/>
                <w:szCs w:val="21"/>
                <w:highlight w:val="none"/>
                <w:u w:val="single"/>
                <w:lang w:val="en-US" w:eastAsia="zh-CN"/>
              </w:rPr>
              <w:t>0</w:t>
            </w:r>
            <w:r>
              <w:rPr>
                <w:rFonts w:hint="eastAsia" w:ascii="宋体" w:hAnsi="宋体"/>
                <w:b/>
                <w:color w:val="000000"/>
                <w:szCs w:val="21"/>
                <w:highlight w:val="none"/>
                <w:u w:val="single"/>
                <w:lang w:eastAsia="zh-CN"/>
              </w:rPr>
              <w:t>日</w:t>
            </w:r>
            <w:r>
              <w:rPr>
                <w:rFonts w:hint="eastAsia" w:ascii="宋体" w:hAnsi="宋体"/>
                <w:b/>
                <w:color w:val="000000"/>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w:t>
            </w:r>
            <w:r>
              <w:rPr>
                <w:rFonts w:hint="eastAsia" w:ascii="宋体" w:hAnsi="宋体" w:eastAsia="宋体" w:cs="Times New Roman"/>
                <w:b/>
                <w:color w:val="000000"/>
                <w:szCs w:val="21"/>
                <w:highlight w:val="none"/>
              </w:rPr>
              <w:t>于</w:t>
            </w:r>
            <w:r>
              <w:rPr>
                <w:rFonts w:hint="eastAsia" w:ascii="宋体" w:hAnsi="宋体" w:cs="Times New Roman"/>
                <w:b/>
                <w:color w:val="000000"/>
                <w:szCs w:val="21"/>
                <w:highlight w:val="none"/>
                <w:u w:val="single"/>
                <w:lang w:val="en-US" w:eastAsia="zh-CN"/>
              </w:rPr>
              <w:t>2022年1月10日</w:t>
            </w:r>
            <w:r>
              <w:rPr>
                <w:rFonts w:hint="eastAsia" w:ascii="宋体" w:hAnsi="宋体" w:eastAsia="宋体" w:cs="Times New Roman"/>
                <w:b/>
                <w:color w:val="000000"/>
                <w:szCs w:val="21"/>
                <w:highlight w:val="none"/>
              </w:rPr>
              <w:t>由</w:t>
            </w:r>
            <w:r>
              <w:rPr>
                <w:rFonts w:hint="eastAsia" w:ascii="宋体" w:hAnsi="宋体"/>
                <w:b/>
                <w:color w:val="000000"/>
                <w:szCs w:val="21"/>
                <w:highlight w:val="none"/>
              </w:rPr>
              <w:t>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pStyle w:val="23"/>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w:t>
            </w:r>
            <w:r>
              <w:rPr>
                <w:rFonts w:hint="eastAsia" w:ascii="宋体" w:hAnsi="宋体" w:eastAsia="宋体" w:cs="Times New Roman"/>
                <w:b/>
                <w:color w:val="000000"/>
                <w:kern w:val="2"/>
                <w:sz w:val="21"/>
                <w:szCs w:val="21"/>
                <w:highlight w:val="none"/>
                <w:u w:val="single"/>
                <w:lang w:val="en-US" w:eastAsia="zh-CN" w:bidi="ar-SA"/>
              </w:rPr>
              <w:t>于2022年1月20日</w:t>
            </w:r>
            <w:r>
              <w:rPr>
                <w:rFonts w:hint="eastAsia" w:ascii="宋体" w:hAnsi="宋体" w:eastAsia="宋体"/>
                <w:color w:val="000000"/>
                <w:sz w:val="21"/>
                <w:szCs w:val="21"/>
                <w:highlight w:val="none"/>
                <w:lang w:val="en-US" w:eastAsia="zh-CN"/>
              </w:rPr>
              <w:t>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Cs w:val="21"/>
              </w:rPr>
              <w:t>■</w:t>
            </w:r>
            <w:bookmarkStart w:id="29" w:name="_GoBack"/>
            <w:bookmarkEnd w:id="29"/>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eastAsia="宋体" w:cs="宋体"/>
                <w:color w:val="000000"/>
                <w:spacing w:val="-1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pStyle w:val="2"/>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tbl>
      <w:tblPr>
        <w:tblStyle w:val="10"/>
        <w:tblpPr w:leftFromText="180" w:rightFromText="180" w:vertAnchor="text" w:horzAnchor="page" w:tblpX="1146" w:tblpY="418"/>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OHSAS 18001:2007</w:t>
            </w:r>
            <w:r>
              <w:rPr>
                <w:rFonts w:hint="eastAsia" w:eastAsia="黑体"/>
                <w:b/>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hAnsi="宋体" w:eastAsia="宋体" w:cs="宋体"/>
                <w:color w:val="000000"/>
                <w:spacing w:val="-10"/>
                <w:szCs w:val="21"/>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hint="default" w:ascii="宋体" w:hAnsi="Times New Roman" w:eastAsia="宋体" w:cs="Times New Roman"/>
                <w:b/>
                <w:color w:val="000000"/>
                <w:kern w:val="2"/>
                <w:sz w:val="21"/>
                <w:szCs w:val="21"/>
                <w:lang w:val="en-US" w:eastAsia="zh-CN" w:bidi="ar-SA"/>
              </w:rPr>
            </w:pPr>
            <w:r>
              <w:rPr>
                <w:rFonts w:hint="eastAsia" w:ascii="宋体" w:cs="Times New Roman"/>
                <w:b/>
                <w:color w:val="000000"/>
                <w:kern w:val="2"/>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highlight w:val="none"/>
              </w:rPr>
              <w:t>初步定于</w:t>
            </w:r>
            <w:bookmarkStart w:id="28" w:name="二阶段审核日期"/>
            <w:r>
              <w:rPr>
                <w:rFonts w:hint="eastAsia" w:ascii="宋体"/>
                <w:b/>
                <w:color w:val="000000"/>
                <w:szCs w:val="21"/>
                <w:highlight w:val="none"/>
              </w:rPr>
              <w:t>2022-0</w:t>
            </w:r>
            <w:r>
              <w:rPr>
                <w:rFonts w:hint="eastAsia" w:ascii="宋体"/>
                <w:b/>
                <w:color w:val="000000"/>
                <w:szCs w:val="21"/>
                <w:highlight w:val="none"/>
                <w:lang w:val="en-US" w:eastAsia="zh-CN"/>
              </w:rPr>
              <w:t>4</w:t>
            </w:r>
            <w:r>
              <w:rPr>
                <w:rFonts w:hint="eastAsia" w:ascii="宋体"/>
                <w:b/>
                <w:color w:val="000000"/>
                <w:szCs w:val="21"/>
                <w:highlight w:val="none"/>
              </w:rPr>
              <w:t>-</w:t>
            </w:r>
            <w:bookmarkEnd w:id="28"/>
            <w:r>
              <w:rPr>
                <w:rFonts w:hint="eastAsia" w:ascii="宋体"/>
                <w:b/>
                <w:color w:val="000000"/>
                <w:szCs w:val="21"/>
                <w:highlight w:val="none"/>
                <w:lang w:val="en-US" w:eastAsia="zh-CN"/>
              </w:rPr>
              <w:t>01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954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1"/>
        <w:gridCol w:w="89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widowControl/>
              <w:jc w:val="left"/>
              <w:rPr>
                <w:rFonts w:ascii="宋体"/>
                <w:b/>
                <w:color w:val="000000"/>
                <w:szCs w:val="21"/>
              </w:rPr>
            </w:pPr>
            <w:r>
              <w:rPr>
                <w:rFonts w:hint="eastAsia" w:ascii="宋体" w:hAnsi="宋体"/>
                <w:b/>
                <w:color w:val="000000"/>
                <w:szCs w:val="21"/>
              </w:rPr>
              <w:t>评价项目</w:t>
            </w:r>
          </w:p>
        </w:tc>
        <w:tc>
          <w:tcPr>
            <w:tcW w:w="894" w:type="dxa"/>
          </w:tcPr>
          <w:p>
            <w:pPr>
              <w:widowControl/>
              <w:jc w:val="left"/>
              <w:rPr>
                <w:rFonts w:ascii="宋体"/>
                <w:b/>
                <w:color w:val="000000"/>
                <w:szCs w:val="21"/>
              </w:rPr>
            </w:pPr>
          </w:p>
        </w:tc>
        <w:tc>
          <w:tcPr>
            <w:tcW w:w="1051"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1"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1"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themeColor="text1"/>
                <w:szCs w:val="21"/>
              </w:rPr>
              <w:t>受审核组织</w:t>
            </w:r>
            <w:r>
              <w:rPr>
                <w:rFonts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QMS/</w:t>
            </w:r>
            <w:r>
              <w:rPr>
                <w:rFonts w:hint="eastAsia" w:ascii="宋体" w:hAnsi="宋体"/>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hint="eastAsia" w:ascii="宋体" w:hAnsi="宋体"/>
                <w:b/>
                <w:color w:val="000000" w:themeColor="text1"/>
                <w:szCs w:val="21"/>
              </w:rPr>
              <w:t>■</w:t>
            </w:r>
            <w:r>
              <w:rPr>
                <w:rFonts w:ascii="宋体" w:hAnsi="宋体"/>
                <w:b/>
                <w:color w:val="000000" w:themeColor="text1"/>
                <w:szCs w:val="21"/>
              </w:rPr>
              <w:t>EMS/</w:t>
            </w:r>
            <w:r>
              <w:rPr>
                <w:rFonts w:hint="eastAsia" w:ascii="宋体" w:hAnsi="宋体"/>
                <w:b/>
                <w:color w:val="000000" w:themeColor="text1"/>
                <w:szCs w:val="21"/>
              </w:rPr>
              <w:t>■</w:t>
            </w:r>
            <w:r>
              <w:rPr>
                <w:rFonts w:ascii="宋体" w:hAnsi="宋体"/>
                <w:b/>
                <w:color w:val="000000" w:themeColor="text1"/>
                <w:szCs w:val="21"/>
              </w:rPr>
              <w:t>OHSMS</w:t>
            </w:r>
            <w:r>
              <w:rPr>
                <w:rFonts w:hint="eastAsia"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EnMS)/</w:t>
            </w:r>
            <w:r>
              <w:rPr>
                <w:rFonts w:hint="eastAsia" w:ascii="宋体" w:hAnsi="宋体"/>
                <w:b/>
                <w:color w:val="000000" w:themeColor="text1"/>
                <w:spacing w:val="-10"/>
                <w:szCs w:val="21"/>
                <w:lang w:val="de-DE"/>
              </w:rPr>
              <w:t>□</w:t>
            </w:r>
            <w:r>
              <w:rPr>
                <w:rFonts w:hint="eastAsia" w:ascii="宋体" w:hAnsi="宋体"/>
                <w:b/>
                <w:color w:val="000000" w:themeColor="text1"/>
                <w:szCs w:val="21"/>
              </w:rPr>
              <w:t>FS</w:t>
            </w:r>
            <w:r>
              <w:rPr>
                <w:rFonts w:ascii="宋体" w:hAnsi="宋体"/>
                <w:b/>
                <w:color w:val="000000" w:themeColor="text1"/>
                <w:szCs w:val="21"/>
              </w:rPr>
              <w:t>MS/</w:t>
            </w: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HACCP</w:t>
            </w:r>
            <w:r>
              <w:rPr>
                <w:rFonts w:ascii="宋体" w:hAnsi="宋体"/>
                <w:b/>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eastAsia="宋体" w:cs="宋体"/>
                <w:b/>
                <w:color w:val="000000" w:themeColor="text1"/>
                <w:spacing w:val="-10"/>
                <w:szCs w:val="21"/>
                <w:lang w:val="de-DE"/>
              </w:rPr>
              <w:t>■</w:t>
            </w:r>
            <w:r>
              <w:rPr>
                <w:rFonts w:hint="eastAsia" w:ascii="宋体" w:hAnsi="宋体"/>
                <w:b/>
                <w:color w:val="000000" w:themeColor="text1"/>
                <w:spacing w:val="-10"/>
                <w:szCs w:val="21"/>
              </w:rPr>
              <w:t>未发现任何问题</w:t>
            </w:r>
            <w:r>
              <w:rPr>
                <w:rFonts w:ascii="宋体" w:hAnsi="宋体"/>
                <w:b/>
                <w:color w:val="000000" w:themeColor="text1"/>
                <w:szCs w:val="21"/>
              </w:rPr>
              <w:t xml:space="preserve">, </w:t>
            </w:r>
            <w:r>
              <w:rPr>
                <w:rFonts w:hint="eastAsia" w:ascii="宋体" w:hAnsi="宋体"/>
                <w:b/>
                <w:color w:val="000000" w:themeColor="text1"/>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widowControl/>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展览、展示的策划</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cs="宋体"/>
                <w:color w:val="000000"/>
                <w:kern w:val="0"/>
                <w:szCs w:val="21"/>
              </w:rPr>
              <w:t>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widowControl/>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展览、展示的策划所涉及场所的相关环境管理活动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cs="宋体"/>
                <w:color w:val="000000"/>
                <w:kern w:val="0"/>
                <w:szCs w:val="21"/>
              </w:rPr>
              <w:t>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展览、展示的策划所涉及场所的相关职业健康安全管理活动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cs="宋体"/>
                <w:color w:val="000000"/>
                <w:kern w:val="0"/>
                <w:szCs w:val="21"/>
              </w:rPr>
              <w:t>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4337685</wp:posOffset>
            </wp:positionH>
            <wp:positionV relativeFrom="paragraph">
              <wp:posOffset>363220</wp:posOffset>
            </wp:positionV>
            <wp:extent cx="598170" cy="301625"/>
            <wp:effectExtent l="0" t="0" r="11430" b="3175"/>
            <wp:wrapNone/>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tretch>
                      <a:fillRect/>
                    </a:stretch>
                  </pic:blipFill>
                  <pic:spPr>
                    <a:xfrm>
                      <a:off x="0" y="0"/>
                      <a:ext cx="598170" cy="30162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hAnsi="宋体"/>
          <w:b/>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1786890</wp:posOffset>
            </wp:positionH>
            <wp:positionV relativeFrom="paragraph">
              <wp:posOffset>10160</wp:posOffset>
            </wp:positionV>
            <wp:extent cx="598170" cy="301625"/>
            <wp:effectExtent l="0" t="0" r="11430" b="317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598170" cy="30162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pStyle w:val="2"/>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2022年03月28日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重庆深度视点展示服务有限公司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651510</wp:posOffset>
                  </wp:positionH>
                  <wp:positionV relativeFrom="paragraph">
                    <wp:posOffset>78740</wp:posOffset>
                  </wp:positionV>
                  <wp:extent cx="598170" cy="301625"/>
                  <wp:effectExtent l="0" t="0" r="11430" b="317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598170" cy="30162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2022年03月28日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2022年03月28日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4384" behindDoc="0" locked="0" layoutInCell="1" allowOverlap="1">
                  <wp:simplePos x="0" y="0"/>
                  <wp:positionH relativeFrom="column">
                    <wp:posOffset>575945</wp:posOffset>
                  </wp:positionH>
                  <wp:positionV relativeFrom="paragraph">
                    <wp:posOffset>36195</wp:posOffset>
                  </wp:positionV>
                  <wp:extent cx="598170" cy="301625"/>
                  <wp:effectExtent l="0" t="0" r="11430" b="3175"/>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6"/>
                          <a:stretch>
                            <a:fillRect/>
                          </a:stretch>
                        </pic:blipFill>
                        <pic:spPr>
                          <a:xfrm>
                            <a:off x="0" y="0"/>
                            <a:ext cx="598170" cy="301625"/>
                          </a:xfrm>
                          <a:prstGeom prst="rect">
                            <a:avLst/>
                          </a:prstGeom>
                          <a:noFill/>
                          <a:ln>
                            <a:noFill/>
                          </a:ln>
                        </pic:spPr>
                      </pic:pic>
                    </a:graphicData>
                  </a:graphic>
                </wp:anchor>
              </w:drawing>
            </w: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eastAsia="zh-CN"/>
              </w:rPr>
              <w:t>2022年03月28日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A9D5BE2"/>
    <w:rsid w:val="43872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after="120"/>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2022-03-28T02:42:25Z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