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四川力合工程质量检测技术有限公司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冉海燕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查文件的作废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lang w:val="en-US" w:eastAsia="zh-CN"/>
              </w:rPr>
              <w:t>因公司经营管理及主要负责人的变更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lang w:val="en-US" w:eastAsia="zh-CN"/>
              </w:rPr>
              <w:t>管理手册、程序文件等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文件已换版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lang w:val="en-US" w:eastAsia="zh-CN"/>
              </w:rPr>
              <w:t>由A版本变更B版本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提供换版前管理手册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lang w:val="en-US" w:eastAsia="zh-CN"/>
              </w:rPr>
              <w:t>等文件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的作废处理记录。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lang w:val="en-US" w:eastAsia="zh-CN"/>
              </w:rPr>
              <w:t>7.5.3.2 条款：“为控制成文信息，适用时，组织应进行下列活动：d）保留和处置。”的要求。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7.5.3条款：“ 环境管理体系及本标准要求的文件化信息应予以控制，以确保其：d）保留和处置。”的要求。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7.5.3条款：“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适用时，组织应针对下列活动来控制文件化信息：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保留和处置。”的要求。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审核员：   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</w:t>
            </w:r>
            <w:bookmarkStart w:id="15" w:name="_GoBack"/>
            <w:bookmarkEnd w:id="15"/>
            <w:r>
              <w:rPr>
                <w:rFonts w:hint="eastAsia" w:ascii="方正仿宋简体" w:eastAsia="方正仿宋简体"/>
                <w:b/>
              </w:rPr>
              <w:t xml:space="preserve">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E95C45"/>
    <w:rsid w:val="6D0448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492</Words>
  <Characters>601</Characters>
  <Lines>6</Lines>
  <Paragraphs>1</Paragraphs>
  <TotalTime>2</TotalTime>
  <ScaleCrop>false</ScaleCrop>
  <LinksUpToDate>false</LinksUpToDate>
  <CharactersWithSpaces>788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2022-03-30T02:02:58Z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