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杭州威成实业有限公司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王献华，</w:t>
            </w:r>
            <w:r>
              <w:rPr>
                <w:rFonts w:hint="eastAsia"/>
                <w:color w:val="000000"/>
                <w:sz w:val="24"/>
                <w:szCs w:val="24"/>
              </w:rPr>
              <w:t>余家龙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朱焕琦，卢晶，蒋建峰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before="1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2022年03月27日 上午至2022年03月27日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：91330122694560677Y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有效期：2009年9月10日至长期；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：包装装潢印刷品印刷(依法须经批准的项目，经相关部门批准后方可开展经营活动，具体经营项目以审批结果为准)。一般项目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塑料制品销售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朔料制品制造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合成材料销售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园林绿化工程施工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专业设计服务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生物基材料销售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生物基材料技术研发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生物基材料制造(除依法须经批准的项目外，凭营业执照依法自主开展经营活动)。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pPr>
              <w:rPr>
                <w:sz w:val="20"/>
              </w:rPr>
            </w:pPr>
            <w:r>
              <w:rPr>
                <w:sz w:val="20"/>
              </w:rPr>
              <w:t>Q：塑料薄膜、塑料袋（许可要求除外）的生产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E：塑料薄膜、塑料袋（许可要求除外）的生产所涉及场所的相关环境管理活动</w:t>
            </w:r>
          </w:p>
          <w:p>
            <w:pPr>
              <w:rPr>
                <w:color w:val="000000"/>
              </w:rPr>
            </w:pPr>
            <w:r>
              <w:rPr>
                <w:sz w:val="20"/>
              </w:rPr>
              <w:t>O：塑料薄膜、塑料袋（许可要求除外）的生产所涉及场所的相关职业健康安全管理活动</w:t>
            </w:r>
            <w:bookmarkEnd w:id="3"/>
            <w:r>
              <w:rPr>
                <w:rFonts w:hint="eastAsia"/>
                <w:sz w:val="20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印刷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：A（杭桐B）印证字第0106号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2025年12月25日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：包装装潢、其他印制品印刷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注册地址：浙江省杭州市桐庐县江南镇高山路518号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印刷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经营地址：浙江省杭州市桐庐县江南镇高山路518号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default"/>
                <w:lang w:val="en-US" w:eastAsia="zh-CN"/>
              </w:rPr>
              <w:t>混料→吸料→吹塑→收卷→胶印→制袋→成品入库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　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22人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精心制作、提升品质、立足市场、顾客满意；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规范操作，减少环境污染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关爱生命，预防安全事故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遵纪守法，追求不断改进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122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14"/>
              <w:gridCol w:w="1570"/>
              <w:gridCol w:w="3830"/>
              <w:gridCol w:w="145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914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</w:rPr>
                    <w:t>目标</w:t>
                  </w:r>
                </w:p>
              </w:tc>
              <w:tc>
                <w:tcPr>
                  <w:tcW w:w="1570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</w:rPr>
                    <w:t>考核频次</w:t>
                  </w:r>
                </w:p>
              </w:tc>
              <w:tc>
                <w:tcPr>
                  <w:tcW w:w="3830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</w:rPr>
                    <w:t>计算方法</w:t>
                  </w:r>
                </w:p>
              </w:tc>
              <w:tc>
                <w:tcPr>
                  <w:tcW w:w="1459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/>
                      <w:color w:val="000000" w:themeColor="text1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</w:rPr>
                    <w:t>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  <w:trHeight w:val="90" w:hRule="atLeast"/>
              </w:trPr>
              <w:tc>
                <w:tcPr>
                  <w:tcW w:w="2914" w:type="dxa"/>
                </w:tcPr>
                <w:p>
                  <w:pPr>
                    <w:widowControl/>
                    <w:spacing w:before="40"/>
                    <w:jc w:val="left"/>
                    <w:rPr>
                      <w:b w:val="0"/>
                      <w:bCs w:val="0"/>
                      <w:color w:val="000000" w:themeColor="text1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Cs w:val="18"/>
                      <w:highlight w:val="none"/>
                    </w:rPr>
                    <w:t>成品一次性交验合格率≥95%</w:t>
                  </w:r>
                </w:p>
              </w:tc>
              <w:tc>
                <w:tcPr>
                  <w:tcW w:w="1570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</w:rPr>
                    <w:t>全年保持</w:t>
                  </w:r>
                </w:p>
              </w:tc>
              <w:tc>
                <w:tcPr>
                  <w:tcW w:w="38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eastAsia="宋体"/>
                      <w:color w:val="000000" w:themeColor="text1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合格率＝交验合格数÷交验总数×100%</w:t>
                  </w:r>
                </w:p>
              </w:tc>
              <w:tc>
                <w:tcPr>
                  <w:tcW w:w="1459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eastAsia="宋体"/>
                      <w:color w:val="000000" w:themeColor="text1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4" w:type="dxa"/>
                </w:tcPr>
                <w:p>
                  <w:pPr>
                    <w:widowControl/>
                    <w:spacing w:before="40"/>
                    <w:jc w:val="left"/>
                    <w:rPr>
                      <w:b w:val="0"/>
                      <w:bCs w:val="0"/>
                      <w:color w:val="000000" w:themeColor="text1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Cs w:val="18"/>
                      <w:highlight w:val="none"/>
                    </w:rPr>
                    <w:t>顾客满意度≥95%</w:t>
                  </w:r>
                </w:p>
              </w:tc>
              <w:tc>
                <w:tcPr>
                  <w:tcW w:w="1570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</w:rPr>
                    <w:t>每年调查一次</w:t>
                  </w:r>
                </w:p>
              </w:tc>
              <w:tc>
                <w:tcPr>
                  <w:tcW w:w="38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  <w:t>有效投诉处理数÷顾客有效投诉总数×100%</w:t>
                  </w: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914" w:type="dxa"/>
                </w:tcPr>
                <w:p>
                  <w:pPr>
                    <w:widowControl/>
                    <w:spacing w:before="40"/>
                    <w:jc w:val="left"/>
                    <w:rPr>
                      <w:b w:val="0"/>
                      <w:bCs w:val="0"/>
                      <w:color w:val="000000" w:themeColor="text1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 w:themeColor="text1"/>
                      <w:szCs w:val="18"/>
                      <w:highlight w:val="none"/>
                    </w:rPr>
                    <w:t>计划生产完成率100%</w:t>
                  </w:r>
                </w:p>
              </w:tc>
              <w:tc>
                <w:tcPr>
                  <w:tcW w:w="1570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</w:rPr>
                    <w:t>全年保持</w:t>
                  </w:r>
                </w:p>
              </w:tc>
              <w:tc>
                <w:tcPr>
                  <w:tcW w:w="38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eastAsia="宋体"/>
                      <w:color w:val="000000" w:themeColor="text1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完成率=生产完成数/总计划数</w:t>
                  </w:r>
                </w:p>
              </w:tc>
              <w:tc>
                <w:tcPr>
                  <w:tcW w:w="1459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9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b w:val="0"/>
                      <w:bCs w:val="0"/>
                      <w:color w:val="000000" w:themeColor="text1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固废按规定分类处置率1</w:t>
                  </w:r>
                  <w:r>
                    <w:rPr>
                      <w:b w:val="0"/>
                      <w:bCs w:val="0"/>
                    </w:rPr>
                    <w:t>00</w:t>
                  </w:r>
                  <w:r>
                    <w:rPr>
                      <w:rFonts w:hint="eastAsia"/>
                      <w:b w:val="0"/>
                      <w:bCs w:val="0"/>
                    </w:rPr>
                    <w:t>%</w:t>
                  </w:r>
                </w:p>
              </w:tc>
              <w:tc>
                <w:tcPr>
                  <w:tcW w:w="157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eastAsia="宋体"/>
                      <w:color w:val="000000" w:themeColor="text1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8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考核期内统计</w:t>
                  </w: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9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b w:val="0"/>
                      <w:bCs w:val="0"/>
                      <w:color w:val="000000" w:themeColor="text1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废水、废气、噪声达标排放</w:t>
                  </w:r>
                </w:p>
              </w:tc>
              <w:tc>
                <w:tcPr>
                  <w:tcW w:w="1570" w:type="dxa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</w:rPr>
                    <w:t>全年保持</w:t>
                  </w:r>
                </w:p>
              </w:tc>
              <w:tc>
                <w:tcPr>
                  <w:tcW w:w="38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检测报告</w:t>
                  </w: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9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火灾发生率为0</w:t>
                  </w:r>
                </w:p>
              </w:tc>
              <w:tc>
                <w:tcPr>
                  <w:tcW w:w="1570" w:type="dxa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8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考核期内统计</w:t>
                  </w: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9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重大安全事故发生率为0</w:t>
                  </w:r>
                </w:p>
              </w:tc>
              <w:tc>
                <w:tcPr>
                  <w:tcW w:w="1570" w:type="dxa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</w:rPr>
                    <w:t>全年保持</w:t>
                  </w:r>
                </w:p>
              </w:tc>
              <w:tc>
                <w:tcPr>
                  <w:tcW w:w="38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考核期内统计</w:t>
                  </w: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9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职业病发生率为0</w:t>
                  </w:r>
                </w:p>
              </w:tc>
              <w:tc>
                <w:tcPr>
                  <w:tcW w:w="1570" w:type="dxa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8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/>
                      <w:color w:val="000000" w:themeColor="text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考核期内统计</w:t>
                  </w: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44" w:type="dxa"/>
              </w:trPr>
              <w:tc>
                <w:tcPr>
                  <w:tcW w:w="29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传染病发生率为0</w:t>
                  </w:r>
                </w:p>
              </w:tc>
              <w:tc>
                <w:tcPr>
                  <w:tcW w:w="157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/>
                      <w:color w:val="000000" w:themeColor="text1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830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eastAsia="宋体"/>
                      <w:color w:val="000000" w:themeColor="text1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</w:rPr>
                    <w:t>考核期内统计</w:t>
                  </w: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组织的文件化体系的结构——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color w:val="000000" w:themeColor="text1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 w:themeColor="text1"/>
                <w:szCs w:val="21"/>
              </w:rPr>
              <w:t>□5</w:t>
            </w:r>
            <w:r>
              <w:rPr>
                <w:color w:val="000000" w:themeColor="text1"/>
                <w:szCs w:val="21"/>
              </w:rPr>
              <w:t xml:space="preserve">0430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color w:val="000000" w:themeColor="text1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color w:val="000000" w:themeColor="text1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FS</w:t>
            </w:r>
            <w:r>
              <w:rPr>
                <w:color w:val="000000" w:themeColor="text1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HACCP</w:t>
            </w:r>
          </w:p>
          <w:p>
            <w:pPr>
              <w:rPr>
                <w:color w:val="000000" w:themeColor="text1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 w:themeColor="text1"/>
                <w:szCs w:val="18"/>
              </w:rPr>
              <w:t>-文件化的程序；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 w:themeColor="text1"/>
                <w:szCs w:val="18"/>
              </w:rPr>
              <w:t>份；详见《受控文件清单》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-作业文件；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Cs w:val="18"/>
              </w:rPr>
              <w:t>-记录表格；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 w:themeColor="text1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-2日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混料过程、</w:t>
            </w:r>
            <w:r>
              <w:rPr>
                <w:rFonts w:hint="eastAsia"/>
                <w:color w:val="000000"/>
                <w:u w:val="single"/>
              </w:rPr>
              <w:t>胶印过程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吹塑过程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混料时间、吹塑转速、温度、胶印气压，张力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胶印过程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吹塑过程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型式检验报告（证据）1：全生物降解颗粒/全生物降解膜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莱茵技术（上海）有限公司；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>244326777b 001</w:t>
            </w:r>
            <w:r>
              <w:rPr>
                <w:rFonts w:hint="eastAsia"/>
                <w:color w:val="000000"/>
              </w:rPr>
              <w:t>报告日期：2021-11-15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客户要求、GB/T 6040-2019、 GB/T 19277.1-2011。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吹膜机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胶印机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制袋机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钢卷尺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千分尺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电子秤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地磅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年产 500 吨塑料薄膜、2500 万只塑料袋；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>年产 500 吨塑料薄膜、2500 万只塑料袋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固定污染源登记回执登记编号：91330122694560677Y001X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2025年8月19日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2019年1月10日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2022年3月22日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进行应急演练，说明：2021-10-20</w:t>
            </w:r>
            <w:r>
              <w:rPr>
                <w:rFonts w:hint="eastAsia"/>
                <w:color w:val="000000"/>
                <w:lang w:val="en-US" w:eastAsia="zh-CN"/>
              </w:rPr>
              <w:t>进行了火灾演练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2022年3月22日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进行应急演练，说明：2021-10-20</w:t>
            </w:r>
            <w:r>
              <w:rPr>
                <w:rFonts w:hint="eastAsia"/>
                <w:color w:val="000000"/>
                <w:lang w:val="en-US" w:eastAsia="zh-CN"/>
              </w:rPr>
              <w:t>进行了火灾演练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□高低温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  <w:bookmarkStart w:id="4" w:name="_GoBack"/>
      <w:bookmarkEnd w:id="4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AB1812"/>
    <w:rsid w:val="04484531"/>
    <w:rsid w:val="1593009E"/>
    <w:rsid w:val="19E73105"/>
    <w:rsid w:val="1CA15CD3"/>
    <w:rsid w:val="1D994440"/>
    <w:rsid w:val="1FB5210B"/>
    <w:rsid w:val="21451CE2"/>
    <w:rsid w:val="23922691"/>
    <w:rsid w:val="2BDE1716"/>
    <w:rsid w:val="356A2173"/>
    <w:rsid w:val="38563624"/>
    <w:rsid w:val="42BA0E65"/>
    <w:rsid w:val="4A4B7699"/>
    <w:rsid w:val="4AE023EC"/>
    <w:rsid w:val="4FD702E1"/>
    <w:rsid w:val="544538E3"/>
    <w:rsid w:val="5D2A46EA"/>
    <w:rsid w:val="605B55DE"/>
    <w:rsid w:val="6B416772"/>
    <w:rsid w:val="748F5B6C"/>
    <w:rsid w:val="763E597F"/>
    <w:rsid w:val="779A0BA9"/>
    <w:rsid w:val="791B3704"/>
    <w:rsid w:val="79D12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jc w:val="left"/>
      <w:outlineLvl w:val="1"/>
    </w:pPr>
    <w:rPr>
      <w:rFonts w:eastAsia="黑体"/>
      <w:spacing w:val="8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312" w:lineRule="auto"/>
    </w:pPr>
    <w:rPr>
      <w:rFonts w:ascii="Arial" w:hAnsi="Arial" w:eastAsia="楷体_GB2312"/>
      <w:spacing w:val="20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42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2022-03-28T05:33:44Z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