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0276-2022-Q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邯郸市科汇紧固件制造有限公司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2022年03月26日 上午至2022年03月26日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17.12.04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rFonts w:hint="default"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邯郸市科汇紧固件制造有限公司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河北省邯郸市永年区临洺关镇河北铺村东南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057150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河北省邯郸市永年区临洺关镇河北铺村东南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057150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安少鹏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15131033377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康安龙</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安少鹏</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紧固件的生产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紧固件的销售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59" w:leftChars="100" w:hanging="149" w:hangingChars="71"/>
              <w:jc w:val="both"/>
              <w:rPr>
                <w:rFonts w:hint="eastAsia"/>
                <w:color w:val="000000"/>
                <w:lang w:val="en-US" w:eastAsia="zh-CN"/>
              </w:rPr>
            </w:pPr>
            <w:r>
              <w:rPr>
                <w:rFonts w:hint="eastAsia"/>
                <w:color w:val="000000"/>
                <w:lang w:val="en-US" w:eastAsia="zh-CN"/>
              </w:rPr>
              <w:t>钢材→拔丝（需确认过程）→截断→滚丝→镀锌（外包）</w:t>
            </w:r>
          </w:p>
          <w:p>
            <w:pPr>
              <w:tabs>
                <w:tab w:val="left" w:pos="360"/>
              </w:tabs>
              <w:jc w:val="both"/>
              <w:rPr>
                <w:rFonts w:hint="default"/>
                <w:color w:val="000000"/>
                <w:lang w:val="en-US" w:eastAsia="zh-CN"/>
              </w:rPr>
            </w:pPr>
            <w:r>
              <w:rPr>
                <w:rFonts w:hint="eastAsia"/>
                <w:color w:val="000000"/>
                <w:lang w:val="en-US" w:eastAsia="zh-CN"/>
              </w:rPr>
              <w:t xml:space="preserve">  客户信息收集---客户洽谈---签订合同---履行合同---客户回访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紧固件的制造、销售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17.12.04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71"/>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57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0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1"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color w:val="000000"/>
                <w:sz w:val="24"/>
                <w:szCs w:val="24"/>
              </w:rPr>
              <w:t xml:space="preserve">邯郸市科汇紧固件制造有限公司        </w:t>
            </w:r>
            <w:r>
              <w:rPr>
                <w:rFonts w:hint="eastAsia"/>
                <w:lang w:val="de-DE" w:eastAsia="ja-JP"/>
              </w:rPr>
              <w:t>河北省邯郸市永年区临洺关镇河北铺村东南</w:t>
            </w:r>
          </w:p>
        </w:tc>
        <w:tc>
          <w:tcPr>
            <w:tcW w:w="2267" w:type="dxa"/>
          </w:tcPr>
          <w:p>
            <w:pPr>
              <w:bidi w:val="0"/>
              <w:jc w:val="center"/>
              <w:rPr>
                <w:rFonts w:ascii="Times New Roman" w:hAnsi="Times New Roman" w:eastAsia="宋体" w:cs="Times New Roman"/>
                <w:kern w:val="2"/>
                <w:sz w:val="21"/>
                <w:szCs w:val="24"/>
                <w:lang w:val="de-DE" w:eastAsia="ja-JP" w:bidi="ar-SA"/>
              </w:rPr>
            </w:pPr>
            <w:r>
              <w:rPr>
                <w:rFonts w:hint="eastAsia"/>
              </w:rPr>
              <w:t>河北省邯郸市永年区临洺关镇河北铺村东南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27</w:t>
            </w:r>
          </w:p>
        </w:tc>
        <w:tc>
          <w:tcPr>
            <w:tcW w:w="1571" w:type="dxa"/>
            <w:vAlign w:val="center"/>
          </w:tcPr>
          <w:p>
            <w:pPr>
              <w:pStyle w:val="19"/>
              <w:rPr>
                <w:rFonts w:eastAsia="黑体" w:cs="Arial"/>
                <w:sz w:val="21"/>
                <w:szCs w:val="21"/>
                <w:lang w:val="en-US" w:eastAsia="ja-JP"/>
              </w:rPr>
            </w:pPr>
            <w:r>
              <w:rPr>
                <w:rFonts w:hint="eastAsia" w:eastAsia="黑体" w:cs="Arial"/>
                <w:sz w:val="21"/>
                <w:szCs w:val="21"/>
                <w:lang w:val="en-US" w:eastAsia="ja-JP"/>
              </w:rPr>
              <w:t>紧固件的制造、销售</w:t>
            </w:r>
          </w:p>
        </w:tc>
        <w:tc>
          <w:tcPr>
            <w:tcW w:w="1901"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571" w:type="dxa"/>
            <w:vAlign w:val="center"/>
          </w:tcPr>
          <w:p>
            <w:pPr>
              <w:spacing w:before="40" w:after="40"/>
              <w:rPr>
                <w:rFonts w:eastAsia="黑体"/>
                <w:szCs w:val="21"/>
                <w:lang w:eastAsia="ja-JP"/>
              </w:rPr>
            </w:pPr>
          </w:p>
        </w:tc>
        <w:tc>
          <w:tcPr>
            <w:tcW w:w="190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571" w:type="dxa"/>
            <w:vAlign w:val="center"/>
          </w:tcPr>
          <w:p>
            <w:pPr>
              <w:spacing w:before="40" w:after="40"/>
              <w:rPr>
                <w:rFonts w:eastAsia="黑体"/>
                <w:szCs w:val="21"/>
                <w:lang w:eastAsia="ja-JP"/>
              </w:rPr>
            </w:pPr>
          </w:p>
        </w:tc>
        <w:tc>
          <w:tcPr>
            <w:tcW w:w="190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571" w:type="dxa"/>
            <w:vAlign w:val="center"/>
          </w:tcPr>
          <w:p>
            <w:pPr>
              <w:spacing w:before="40" w:after="40"/>
              <w:rPr>
                <w:rFonts w:eastAsia="黑体"/>
                <w:szCs w:val="21"/>
                <w:lang w:eastAsia="ja-JP"/>
              </w:rPr>
            </w:pPr>
          </w:p>
        </w:tc>
        <w:tc>
          <w:tcPr>
            <w:tcW w:w="190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571" w:type="dxa"/>
            <w:vAlign w:val="center"/>
          </w:tcPr>
          <w:p>
            <w:pPr>
              <w:spacing w:before="40" w:after="40"/>
              <w:rPr>
                <w:rFonts w:eastAsia="黑体"/>
                <w:szCs w:val="21"/>
                <w:lang w:eastAsia="ja-JP"/>
              </w:rPr>
            </w:pPr>
          </w:p>
        </w:tc>
        <w:tc>
          <w:tcPr>
            <w:tcW w:w="190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Times New Roman"/>
                <w:b/>
                <w:color w:val="000000"/>
                <w:kern w:val="2"/>
                <w:sz w:val="24"/>
                <w:szCs w:val="24"/>
                <w:lang w:val="de-DE" w:eastAsia="zh-CN" w:bidi="ar-SA"/>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numPr>
          <w:ilvl w:val="0"/>
          <w:numId w:val="2"/>
        </w:num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p>
      <w:pPr>
        <w:pStyle w:val="2"/>
        <w:numPr>
          <w:ilvl w:val="0"/>
          <w:numId w:val="0"/>
        </w:numPr>
        <w:jc w:val="both"/>
      </w:pP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w:t>
            </w:r>
            <w:bookmarkStart w:id="36" w:name="_GoBack"/>
            <w:bookmarkEnd w:id="36"/>
            <w:r>
              <w:rPr>
                <w:rFonts w:hint="eastAsia" w:ascii="宋体" w:hAnsi="宋体"/>
                <w:b/>
                <w:color w:val="000000"/>
                <w:spacing w:val="-10"/>
                <w:szCs w:val="21"/>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1  月 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拔丝过程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拔丝</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FF0000"/>
                <w:spacing w:val="-10"/>
                <w:szCs w:val="21"/>
                <w:lang w:val="en-US" w:eastAsia="zh-CN"/>
              </w:rPr>
            </w:pPr>
            <w:r>
              <w:rPr>
                <w:rFonts w:hint="eastAsia" w:ascii="宋体" w:hAnsi="宋体" w:eastAsia="宋体" w:cs="Times New Roman"/>
                <w:color w:val="000000"/>
                <w:szCs w:val="21"/>
                <w:lang w:val="en-US" w:eastAsia="zh-CN"/>
              </w:rPr>
              <w:t>镀锌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2022-03-2</w:t>
            </w:r>
            <w:bookmarkEnd w:id="35"/>
            <w:r>
              <w:rPr>
                <w:rFonts w:hint="eastAsia" w:ascii="宋体"/>
                <w:b/>
                <w:color w:val="000000"/>
                <w:szCs w:val="21"/>
                <w:lang w:val="en-US" w:eastAsia="zh-CN"/>
              </w:rPr>
              <w:t>7至2022-3-29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drawing>
          <wp:inline distT="0" distB="0" distL="114300" distR="114300">
            <wp:extent cx="793750" cy="14922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93750" cy="149225"/>
            <wp:effectExtent l="0" t="0" r="635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015"/>
        <w:gridCol w:w="231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80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803"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游标卡尺、钢卷尺、外径千分尺未提供近期校准报告</w:t>
            </w:r>
          </w:p>
        </w:tc>
        <w:tc>
          <w:tcPr>
            <w:tcW w:w="2310" w:type="dxa"/>
            <w:vAlign w:val="center"/>
          </w:tcPr>
          <w:p>
            <w:pPr>
              <w:pStyle w:val="2"/>
              <w:pBdr>
                <w:bottom w:val="none" w:color="auto" w:sz="0" w:space="0"/>
              </w:pBdr>
              <w:ind w:right="600"/>
              <w:jc w:val="both"/>
              <w:rPr>
                <w:color w:val="000000"/>
                <w:sz w:val="21"/>
                <w:szCs w:val="21"/>
              </w:rPr>
            </w:pPr>
            <w:r>
              <w:rPr>
                <w:rFonts w:hint="eastAsia"/>
                <w:color w:val="000000"/>
                <w:sz w:val="21"/>
                <w:szCs w:val="21"/>
              </w:rPr>
              <w:t>GB/T19001-2016/ISO 9001:2015</w:t>
            </w:r>
          </w:p>
        </w:tc>
        <w:tc>
          <w:tcPr>
            <w:tcW w:w="1133" w:type="dxa"/>
            <w:vAlign w:val="center"/>
          </w:tcPr>
          <w:p>
            <w:pPr>
              <w:pStyle w:val="2"/>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vAlign w:val="center"/>
          </w:tcPr>
          <w:p>
            <w:pPr>
              <w:pStyle w:val="2"/>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0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310"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0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310"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0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310"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480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2310"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inline distT="0" distB="0" distL="114300" distR="114300">
                  <wp:extent cx="730250" cy="139700"/>
                  <wp:effectExtent l="0" t="0" r="635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730250" cy="139700"/>
                          </a:xfrm>
                          <a:prstGeom prst="rect">
                            <a:avLst/>
                          </a:prstGeom>
                          <a:noFill/>
                          <a:ln>
                            <a:noFill/>
                          </a:ln>
                        </pic:spPr>
                      </pic:pic>
                    </a:graphicData>
                  </a:graphic>
                </wp:inline>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 xml:space="preserve"> 3 </w:t>
            </w:r>
            <w:r>
              <w:rPr>
                <w:rFonts w:hint="eastAsia"/>
                <w:b/>
                <w:color w:val="000000"/>
                <w:szCs w:val="21"/>
              </w:rPr>
              <w:t>月</w:t>
            </w:r>
            <w:r>
              <w:rPr>
                <w:rFonts w:hint="eastAsia"/>
                <w:b/>
                <w:color w:val="000000"/>
                <w:szCs w:val="21"/>
                <w:lang w:val="en-US" w:eastAsia="zh-CN"/>
              </w:rPr>
              <w:t xml:space="preserve"> 26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drawing>
                <wp:inline distT="0" distB="0" distL="114300" distR="114300">
                  <wp:extent cx="730250" cy="139700"/>
                  <wp:effectExtent l="0" t="0" r="635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730250" cy="139700"/>
                          </a:xfrm>
                          <a:prstGeom prst="rect">
                            <a:avLst/>
                          </a:prstGeom>
                          <a:noFill/>
                          <a:ln>
                            <a:noFill/>
                          </a:ln>
                        </pic:spPr>
                      </pic:pic>
                    </a:graphicData>
                  </a:graphic>
                </wp:inline>
              </w:drawing>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122E67F"/>
    <w:multiLevelType w:val="singleLevel"/>
    <w:tmpl w:val="A122E67F"/>
    <w:lvl w:ilvl="0" w:tentative="0">
      <w:start w:val="5"/>
      <w:numFmt w:val="chineseCounting"/>
      <w:suff w:val="nothing"/>
      <w:lvlText w:val="%1、"/>
      <w:lvlJc w:val="left"/>
      <w:rPr>
        <w:rFonts w:hint="eastAsia"/>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9B058F"/>
    <w:rsid w:val="0ECB48D4"/>
    <w:rsid w:val="1A850233"/>
    <w:rsid w:val="285467BC"/>
    <w:rsid w:val="2B2915E5"/>
    <w:rsid w:val="411D7385"/>
    <w:rsid w:val="58087383"/>
    <w:rsid w:val="5D467A6D"/>
    <w:rsid w:val="7C6D3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3907</Words>
  <Characters>4488</Characters>
  <Lines>67</Lines>
  <Paragraphs>18</Paragraphs>
  <TotalTime>1</TotalTime>
  <ScaleCrop>false</ScaleCrop>
  <LinksUpToDate>false</LinksUpToDate>
  <CharactersWithSpaces>4880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2022-03-29T01:58:16Z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