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Cs w:val="21"/>
                <w:lang w:eastAsia="zh-CN"/>
              </w:rPr>
            </w:pPr>
            <w:r>
              <w:rPr>
                <w:rFonts w:hint="eastAsia"/>
                <w:szCs w:val="21"/>
              </w:rPr>
              <w:t>受审核部门：综合办公室/财务部     主管领导：赵洁   陪同人员：</w:t>
            </w:r>
            <w:r>
              <w:rPr>
                <w:rFonts w:hint="eastAsia"/>
                <w:szCs w:val="21"/>
                <w:lang w:eastAsia="zh-CN"/>
              </w:rPr>
              <w:t>王妮</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szCs w:val="21"/>
              </w:rPr>
            </w:pPr>
            <w:r>
              <w:rPr>
                <w:rFonts w:hint="eastAsia"/>
                <w:szCs w:val="21"/>
              </w:rPr>
              <w:t>审核员：强兴       审核时间：2022年3月28日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ind w:right="105" w:rightChars="50"/>
              <w:textAlignment w:val="baseline"/>
              <w:rPr>
                <w:rFonts w:ascii="宋体" w:hAnsi="宋体" w:cs="Arial"/>
                <w:szCs w:val="21"/>
              </w:rPr>
            </w:pPr>
            <w:r>
              <w:rPr>
                <w:rFonts w:hint="eastAsia"/>
                <w:szCs w:val="21"/>
              </w:rPr>
              <w:t>审核条款</w:t>
            </w:r>
            <w:r>
              <w:rPr>
                <w:rFonts w:hint="eastAsia" w:ascii="宋体" w:hAnsi="宋体" w:cs="Arial"/>
                <w:szCs w:val="21"/>
              </w:rPr>
              <w:t>QEO:5.3、6.1、6.2、9.1.1、9.2、10.2</w:t>
            </w:r>
          </w:p>
          <w:p>
            <w:pPr>
              <w:adjustRightInd w:val="0"/>
              <w:snapToGrid w:val="0"/>
              <w:ind w:right="105" w:rightChars="50"/>
              <w:textAlignment w:val="baseline"/>
              <w:rPr>
                <w:rFonts w:asciiTheme="minorEastAsia" w:hAnsiTheme="minorEastAsia" w:eastAsiaTheme="minorEastAsia" w:cstheme="minorEastAsia"/>
                <w:szCs w:val="21"/>
              </w:rPr>
            </w:pPr>
            <w:r>
              <w:rPr>
                <w:rFonts w:hint="eastAsia" w:ascii="宋体" w:hAnsi="宋体" w:cs="Arial"/>
                <w:szCs w:val="21"/>
              </w:rPr>
              <w:t xml:space="preserve">          EO：</w:t>
            </w:r>
            <w:r>
              <w:rPr>
                <w:rFonts w:hint="eastAsia" w:asciiTheme="minorEastAsia" w:hAnsiTheme="minorEastAsia" w:eastAsiaTheme="minorEastAsia" w:cstheme="minorEastAsia"/>
                <w:szCs w:val="21"/>
              </w:rPr>
              <w:t>6.1.2、8.1、8.2、9.1.1、9.1.2</w:t>
            </w:r>
          </w:p>
          <w:p>
            <w:pPr>
              <w:adjustRightInd w:val="0"/>
              <w:snapToGrid w:val="0"/>
              <w:ind w:right="105" w:rightChars="50"/>
              <w:textAlignment w:val="baseline"/>
              <w:rPr>
                <w:szCs w:val="21"/>
              </w:rPr>
            </w:pPr>
            <w:r>
              <w:rPr>
                <w:rFonts w:hint="eastAsia" w:asciiTheme="minorEastAsia" w:hAnsiTheme="minorEastAsia" w:eastAsiaTheme="minorEastAsia" w:cstheme="minorEastAsia"/>
                <w:szCs w:val="21"/>
              </w:rPr>
              <w:t xml:space="preserve">           O：6.1.3、6.1.4、6.2.1、6.2.2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998" w:type="dxa"/>
          </w:tcPr>
          <w:p>
            <w:pPr>
              <w:spacing w:line="360" w:lineRule="auto"/>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综合办公室按照公司领导要求，做好公司职能和岗位的具体确定，对从事计量器具的检定、校准、技术咨询及服务；仪器仪表的维护有关的管理、执行和验证人员规定其职责、权限及其相互关系，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rPr>
              <w:t>综合办公室负责人：赵洁。在手册中确定了综合办公室的职能，人员职责、权限和相互关系。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询问综合办公室人员，基本清楚本部门职责。</w:t>
            </w:r>
          </w:p>
          <w:p>
            <w:pPr>
              <w:spacing w:line="360" w:lineRule="auto"/>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pPr>
            <w:r>
              <w:rPr>
                <w:rFonts w:hint="eastAsia"/>
              </w:rPr>
              <w:t>应对风险和机遇的措施</w:t>
            </w:r>
          </w:p>
          <w:p>
            <w:pPr>
              <w:spacing w:line="360" w:lineRule="auto"/>
            </w:pPr>
          </w:p>
        </w:tc>
        <w:tc>
          <w:tcPr>
            <w:tcW w:w="998" w:type="dxa"/>
          </w:tcPr>
          <w:p>
            <w:pPr>
              <w:spacing w:line="360" w:lineRule="auto"/>
            </w:pPr>
            <w:r>
              <w:rPr>
                <w:rFonts w:hint="eastAsia"/>
              </w:rPr>
              <w:t>Q6.1</w:t>
            </w:r>
          </w:p>
          <w:p>
            <w:pPr>
              <w:spacing w:line="360" w:lineRule="auto"/>
            </w:pPr>
            <w:r>
              <w:t>E6.1.1</w:t>
            </w:r>
          </w:p>
          <w:p>
            <w:pPr>
              <w:spacing w:line="360" w:lineRule="auto"/>
            </w:pPr>
            <w:r>
              <w:t>O6.1.1</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1.质量风险与机遇：直接产品质量风险与机遇、间接产品质量风险与机遇。</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环境风险与机遇：主要有自然、人文、政治、经济以及其他。</w:t>
            </w:r>
          </w:p>
          <w:p>
            <w:pPr>
              <w:spacing w:line="360" w:lineRule="auto"/>
              <w:ind w:firstLine="420" w:firstLineChars="200"/>
              <w:rPr>
                <w:rFonts w:ascii="宋体" w:hAnsi="宋体" w:cs="宋体"/>
                <w:szCs w:val="21"/>
              </w:rPr>
            </w:pPr>
            <w:r>
              <w:rPr>
                <w:rFonts w:hint="eastAsia" w:ascii="宋体" w:hAnsi="宋体" w:cs="宋体"/>
                <w:szCs w:val="21"/>
              </w:rPr>
              <w:t>3.经营风险与机遇：主要有员工、设备、供销链、技术、管理、产品、法律、专利及产权。</w:t>
            </w:r>
          </w:p>
          <w:p>
            <w:pPr>
              <w:spacing w:line="360" w:lineRule="auto"/>
              <w:ind w:firstLine="420" w:firstLineChars="200"/>
              <w:rPr>
                <w:rFonts w:ascii="宋体" w:hAnsi="宋体" w:cs="宋体"/>
                <w:szCs w:val="21"/>
              </w:rPr>
            </w:pPr>
            <w:r>
              <w:rPr>
                <w:rFonts w:hint="eastAsia" w:ascii="宋体" w:hAnsi="宋体" w:cs="宋体"/>
                <w:szCs w:val="21"/>
              </w:rPr>
              <w:t>4.市场风险与机遇：包括市场容量、竞争力、价格、促销。</w:t>
            </w:r>
          </w:p>
          <w:p>
            <w:pPr>
              <w:spacing w:line="360" w:lineRule="auto"/>
              <w:ind w:firstLine="420" w:firstLineChars="200"/>
              <w:rPr>
                <w:rFonts w:ascii="宋体" w:hAnsi="宋体" w:cs="宋体"/>
                <w:szCs w:val="21"/>
              </w:rPr>
            </w:pPr>
            <w:r>
              <w:rPr>
                <w:rFonts w:hint="eastAsia" w:ascii="宋体" w:hAnsi="宋体" w:cs="宋体"/>
                <w:szCs w:val="21"/>
              </w:rPr>
              <w:t>5.财务风险与机遇：有融资/筹资、资金偿还、资金使用、资金回收、效益分配。</w:t>
            </w:r>
          </w:p>
          <w:p>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在策划管理体系时考虑了风险和机遇以及相应的应对措施，制定了《风险和机遇分析、评价和应对措施的确定程序》，明确风险和机遇事件的识别方法/途径、风险和机遇事件的评估方式，制定了《企业风险和机遇应对策划表》识别主要风险和机遇事件、应对措施的要求、评价措施有效性等。在管理体系所确定的过程（生产服务、供应商的要求等）中，整合制定针对性管理措施（如程序控制等）。提供了“企业风险和机遇应当策划表”，已认真对市场与经营环境风险、重大投资决策失误、采购质量分析、运营规划不当等，主要措施参加行业会议收集行业政策，分析市场环境；每年度公司对生产规模、投资决策企业发展方向根据实际情况召开中层会议讨论作出决策；新购设备，设备技改等，要求项目部相关人员制定方案，采取多方比较，综合考虑；应对措施效果待观察。</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asciiTheme="minorEastAsia" w:hAnsiTheme="minorEastAsia" w:eastAsiaTheme="minorEastAsia" w:cstheme="minorEastAsia"/>
                <w:szCs w:val="21"/>
              </w:rPr>
              <w:t>危险源辨识、风险评估及控制措施</w:t>
            </w:r>
          </w:p>
        </w:tc>
        <w:tc>
          <w:tcPr>
            <w:tcW w:w="998" w:type="dxa"/>
          </w:tcPr>
          <w:p>
            <w:r>
              <w:rPr>
                <w:rFonts w:hint="eastAsia" w:asciiTheme="minorEastAsia" w:hAnsiTheme="minorEastAsia" w:eastAsiaTheme="minorEastAsia" w:cstheme="minorEastAsia"/>
                <w:szCs w:val="21"/>
              </w:rPr>
              <w:t>EO:6.1.2/6.1.4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编制《环境因素识别和评价控制程序》、《风险和机遇分析、评价和应对措施的确定程序》等程序，按照相关程序执行。</w:t>
            </w:r>
          </w:p>
          <w:p>
            <w:pPr>
              <w:spacing w:line="360" w:lineRule="auto"/>
              <w:ind w:firstLine="420" w:firstLineChars="200"/>
              <w:rPr>
                <w:rFonts w:ascii="宋体" w:hAnsi="宋体" w:cs="宋体"/>
                <w:szCs w:val="21"/>
              </w:rPr>
            </w:pPr>
            <w:r>
              <w:rPr>
                <w:rFonts w:hint="eastAsia" w:ascii="宋体" w:hAnsi="宋体" w:cs="宋体"/>
                <w:szCs w:val="21"/>
              </w:rPr>
              <w:t>提供《环境因素识别排查表》识别了办公区、计量器具的检定、校准、技术咨询及服务；仪器仪表的维护过程等环境因素包括：水的消耗、电的消耗、办公用品的消耗、汽车尾气的排放、生活垃圾的排放、纸箱、包装物的废弃物、电灯产生的废弃物等；</w:t>
            </w:r>
          </w:p>
          <w:p>
            <w:pPr>
              <w:spacing w:line="360" w:lineRule="auto"/>
              <w:ind w:firstLine="420" w:firstLineChars="200"/>
              <w:rPr>
                <w:rFonts w:ascii="宋体" w:hAnsi="宋体" w:cs="宋体"/>
                <w:szCs w:val="21"/>
              </w:rPr>
            </w:pPr>
            <w:r>
              <w:rPr>
                <w:rFonts w:hint="eastAsia" w:ascii="宋体" w:hAnsi="宋体" w:cs="宋体"/>
                <w:szCs w:val="21"/>
              </w:rPr>
              <w:t>提供《重要环境因素清单》2项，包括固废排放（材料包装物废弃、办公垃圾等）、火灾（</w:t>
            </w:r>
            <w:r>
              <w:rPr>
                <w:rFonts w:hint="eastAsia" w:ascii="宋体" w:hAnsi="宋体"/>
                <w:szCs w:val="21"/>
              </w:rPr>
              <w:t>办公过程潜在火灾的发生</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编制、《危险源辨识、风险评价和控制措施的确定》、《风险和机遇分析、评价和应对措施的确定程序》等程序，按照相关程序执行。</w:t>
            </w:r>
          </w:p>
          <w:p>
            <w:pPr>
              <w:spacing w:line="360" w:lineRule="auto"/>
              <w:ind w:firstLine="420" w:firstLineChars="200"/>
              <w:rPr>
                <w:rFonts w:ascii="宋体" w:hAnsi="宋体" w:cs="宋体"/>
                <w:szCs w:val="21"/>
              </w:rPr>
            </w:pPr>
            <w:r>
              <w:rPr>
                <w:rFonts w:hint="eastAsia" w:ascii="宋体" w:hAnsi="宋体" w:cs="宋体"/>
                <w:szCs w:val="21"/>
              </w:rPr>
              <w:t>提供《危险源辨识与风险评价》，识别了办公区、计量器具的检定、校准、技术咨询及服务；仪器仪表的维护过程等危险源，抽查如下：</w:t>
            </w:r>
          </w:p>
          <w:p>
            <w:pPr>
              <w:spacing w:line="360" w:lineRule="auto"/>
              <w:rPr>
                <w:rFonts w:ascii="宋体" w:hAnsi="宋体" w:cs="宋体"/>
                <w:szCs w:val="21"/>
              </w:rPr>
            </w:pPr>
            <w:r>
              <w:rPr>
                <w:rFonts w:hint="eastAsia" w:ascii="宋体" w:hAnsi="宋体" w:cs="宋体"/>
                <w:szCs w:val="21"/>
              </w:rPr>
              <w:t>作业活动</w:t>
            </w:r>
            <w:r>
              <w:rPr>
                <w:rFonts w:hint="eastAsia" w:ascii="宋体" w:hAnsi="宋体" w:cs="宋体"/>
                <w:szCs w:val="21"/>
              </w:rPr>
              <w:tab/>
            </w:r>
            <w:r>
              <w:rPr>
                <w:rFonts w:hint="eastAsia" w:ascii="宋体" w:hAnsi="宋体" w:cs="宋体"/>
                <w:szCs w:val="21"/>
              </w:rPr>
              <w:t xml:space="preserve"> 危险源</w:t>
            </w:r>
            <w:r>
              <w:rPr>
                <w:rFonts w:hint="eastAsia" w:ascii="宋体" w:hAnsi="宋体" w:cs="宋体"/>
                <w:szCs w:val="21"/>
              </w:rPr>
              <w:tab/>
            </w:r>
            <w:r>
              <w:rPr>
                <w:rFonts w:hint="eastAsia" w:ascii="宋体" w:hAnsi="宋体" w:cs="宋体"/>
                <w:szCs w:val="21"/>
              </w:rPr>
              <w:t xml:space="preserve">   导致的后果</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电危害</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各类电气插座、插头老化</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火灾、触电</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人员外出的车辆、和下车间检查运转设备的危害</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交通事故/机械伤害</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标志缺陷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办公大楼消防标志不规范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火灾</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传染病媒介物</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个别人员患传染病在不知道的情况下传染给他人</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传染病</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交通运输</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疲劳驾驶、违章驾驶</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交通事故</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暑期办公</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高温作业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中暑</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办公区未配备消防器材或器材过期损坏、不会使用消防器材</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火灾</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日常办公管理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抽烟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火灾、健康损害</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上下楼梯</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地面不平、不小心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人身伤害</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线路短路/易燃物遇明火</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引起火灾</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人身伤害</w:t>
            </w:r>
          </w:p>
          <w:p>
            <w:pPr>
              <w:pStyle w:val="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见《不可接受危险源清单》，触电、火灾伤害、意外交通事故。</w:t>
            </w:r>
          </w:p>
          <w:p>
            <w:pPr>
              <w:pStyle w:val="10"/>
              <w:rPr>
                <w:rFonts w:ascii="宋体" w:hAnsi="宋体" w:cs="宋体"/>
                <w:szCs w:val="21"/>
              </w:rPr>
            </w:pPr>
            <w:r>
              <w:rPr>
                <w:rFonts w:hint="eastAsia" w:asciiTheme="minorEastAsia" w:hAnsiTheme="minorEastAsia" w:eastAsiaTheme="minorEastAsia" w:cstheme="minorEastAsia"/>
                <w:bCs w:val="0"/>
                <w:spacing w:val="0"/>
                <w:szCs w:val="21"/>
              </w:rPr>
              <w:t>以上</w:t>
            </w:r>
            <w:r>
              <w:rPr>
                <w:rFonts w:hint="eastAsia" w:asciiTheme="minorEastAsia" w:hAnsiTheme="minorEastAsia" w:eastAsiaTheme="minorEastAsia" w:cstheme="minorEastAsia"/>
                <w:szCs w:val="21"/>
              </w:rPr>
              <w:t>不可接受危险源清单</w:t>
            </w:r>
            <w:r>
              <w:rPr>
                <w:rFonts w:hint="eastAsia" w:asciiTheme="minorEastAsia" w:hAnsiTheme="minorEastAsia" w:eastAsiaTheme="minorEastAsia" w:cstheme="minorEastAsia"/>
                <w:bCs w:val="0"/>
                <w:spacing w:val="0"/>
                <w:szCs w:val="21"/>
              </w:rPr>
              <w:t>中制定了针对性控制措施，措施基本有效。</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法律法规和其他要求和合规性评价</w:t>
            </w:r>
          </w:p>
        </w:tc>
        <w:tc>
          <w:tcPr>
            <w:tcW w:w="998" w:type="dxa"/>
          </w:tcPr>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O：6.1.3</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O：9.1.2</w:t>
            </w:r>
          </w:p>
          <w:p>
            <w:pPr>
              <w:spacing w:line="400" w:lineRule="exact"/>
              <w:jc w:val="left"/>
              <w:rPr>
                <w:rFonts w:asciiTheme="minorEastAsia" w:hAnsiTheme="minorEastAsia" w:eastAsiaTheme="minorEastAsia" w:cstheme="minorEastAsia"/>
                <w:szCs w:val="21"/>
              </w:rPr>
            </w:pP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有法律法规及其他要求控制程序、合规性评价控制程序 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见法律法规和其他要求一览表、合规性评价表，评审时间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年10月30日，评审地点：公司会议室，记录人赵洁，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总经理/：赵平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综合办公室/管理者代表：赵洁</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财务部：</w:t>
            </w:r>
            <w:r>
              <w:rPr>
                <w:rFonts w:hint="eastAsia" w:asciiTheme="minorEastAsia" w:hAnsiTheme="minorEastAsia" w:eastAsiaTheme="minorEastAsia" w:cstheme="minorEastAsia"/>
                <w:szCs w:val="21"/>
                <w:lang w:eastAsia="zh-CN"/>
              </w:rPr>
              <w:t>王妮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战略发展部：赵卫平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计量部：胡民安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安全事务代表：潘志伟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抽查如下：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陕西省消防条例、陕西省安全生产条例、陕西省重大危险源监督管理规定、危险化学品安全管理条例、污水综合排放标准、处置场污染控制标准、危险废物转移联单管理办法、陕西省实施《中华人民共和国环境影响评价法》办法、陕西省节约用水办法、国家突发环境事件应急预案、环境空气质量标准、陕西省化学危险品安全管理规定（试行）、突发环境事件应急预案编制导则等，控制措施及现状：已制定安全防火制度及应急预案。配备消防器材。重点场所标识禁火。定期巡查，消除隐患。每年进行至少一次消防演练。</w:t>
            </w:r>
          </w:p>
          <w:p>
            <w:pPr>
              <w:rPr>
                <w:rFonts w:ascii="宋体" w:hAnsi="宋体" w:cs="宋体"/>
                <w:szCs w:val="21"/>
              </w:rPr>
            </w:pPr>
          </w:p>
        </w:tc>
        <w:tc>
          <w:tcPr>
            <w:tcW w:w="1585" w:type="dxa"/>
          </w:tcPr>
          <w:p>
            <w:pPr>
              <w:spacing w:line="360" w:lineRule="auto"/>
            </w:pPr>
          </w:p>
          <w:p>
            <w:pPr>
              <w:spacing w:line="360" w:lineRule="auto"/>
            </w:pPr>
            <w:r>
              <w:rPr>
                <w:rFonts w:hint="eastAsia"/>
              </w:rPr>
              <w:t>Y</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szCs w:val="21"/>
              </w:rPr>
              <w:t>O</w:t>
            </w:r>
            <w:r>
              <w:rPr>
                <w:rFonts w:hint="eastAsia"/>
                <w:szCs w:val="21"/>
              </w:rPr>
              <w:t>6.2.1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360" w:lineRule="auto"/>
              <w:ind w:firstLine="420" w:firstLineChars="200"/>
              <w:rPr>
                <w:rFonts w:ascii="宋体" w:hAnsi="宋体" w:cs="宋体"/>
                <w:szCs w:val="21"/>
              </w:rPr>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294640</wp:posOffset>
                  </wp:positionV>
                  <wp:extent cx="5907405" cy="2053590"/>
                  <wp:effectExtent l="0" t="0" r="10795" b="381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5907405" cy="2053590"/>
                          </a:xfrm>
                          <a:prstGeom prst="rect">
                            <a:avLst/>
                          </a:prstGeom>
                          <a:noFill/>
                          <a:ln>
                            <a:noFill/>
                          </a:ln>
                        </pic:spPr>
                      </pic:pic>
                    </a:graphicData>
                  </a:graphic>
                </wp:anchor>
              </w:drawing>
            </w:r>
            <w:r>
              <w:rPr>
                <w:rFonts w:hint="eastAsia" w:ascii="宋体" w:hAnsi="宋体" w:cs="宋体"/>
                <w:szCs w:val="21"/>
              </w:rPr>
              <w:t>综合办公室涉及的目标及实现情况是：</w:t>
            </w: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pStyle w:val="4"/>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目标可测量，与公司管理方针一致。有实施落实的方案， 根据202</w:t>
            </w:r>
            <w:r>
              <w:rPr>
                <w:rFonts w:hint="eastAsia" w:ascii="宋体" w:hAnsi="宋体" w:cs="宋体"/>
                <w:szCs w:val="21"/>
                <w:lang w:val="en-US" w:eastAsia="zh-CN"/>
              </w:rPr>
              <w:t>2</w:t>
            </w:r>
            <w:r>
              <w:rPr>
                <w:rFonts w:hint="eastAsia" w:ascii="宋体" w:hAnsi="宋体" w:cs="宋体"/>
                <w:szCs w:val="21"/>
              </w:rPr>
              <w:t>年1月4日统计结果，目标均已完成。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职业健康安全目标实现措施策划</w:t>
            </w:r>
          </w:p>
        </w:tc>
        <w:tc>
          <w:tcPr>
            <w:tcW w:w="998" w:type="dxa"/>
          </w:tcPr>
          <w:p>
            <w:pPr>
              <w:spacing w:line="360" w:lineRule="auto"/>
              <w:rPr>
                <w:szCs w:val="21"/>
              </w:rPr>
            </w:pPr>
            <w:r>
              <w:rPr>
                <w:szCs w:val="21"/>
              </w:rPr>
              <w:t>O</w:t>
            </w:r>
            <w:r>
              <w:rPr>
                <w:rFonts w:hint="eastAsia"/>
                <w:szCs w:val="21"/>
              </w:rPr>
              <w:t>6.2.2</w:t>
            </w:r>
          </w:p>
        </w:tc>
        <w:tc>
          <w:tcPr>
            <w:tcW w:w="10004" w:type="dxa"/>
            <w:vAlign w:val="center"/>
          </w:tcPr>
          <w:p>
            <w:pPr>
              <w:spacing w:line="360" w:lineRule="auto"/>
              <w:ind w:firstLine="420" w:firstLineChars="200"/>
              <w:rPr>
                <w:szCs w:val="22"/>
              </w:rPr>
            </w:pPr>
            <w:r>
              <w:rPr>
                <w:rFonts w:hint="eastAsia"/>
              </w:rPr>
              <w:t>按《危险源辨识、风险评价和控制措施的确定》识别的重大危险制定管理措施，制定《相关方控制程序》等文件；由综合办公室统一管理。基本不涉及重大法规要求的不可接受的</w:t>
            </w:r>
            <w:r>
              <w:rPr>
                <w:rFonts w:hint="eastAsia"/>
                <w:szCs w:val="22"/>
              </w:rPr>
              <w:t>环境和安全风险</w:t>
            </w:r>
          </w:p>
          <w:p>
            <w:pPr>
              <w:spacing w:line="360" w:lineRule="auto"/>
              <w:rPr>
                <w:szCs w:val="22"/>
              </w:rPr>
            </w:pPr>
            <w:r>
              <w:rPr>
                <w:rFonts w:hint="eastAsia"/>
                <w:szCs w:val="22"/>
              </w:rPr>
              <w:t>查见现场服务过程中（可能）发生的触电事故确定的管理措施要求：</w:t>
            </w:r>
          </w:p>
          <w:p>
            <w:pPr>
              <w:spacing w:line="360" w:lineRule="auto"/>
              <w:rPr>
                <w:szCs w:val="22"/>
              </w:rPr>
            </w:pPr>
            <w:r>
              <w:rPr>
                <w:rFonts w:hint="eastAsia"/>
                <w:szCs w:val="22"/>
              </w:rPr>
              <w:t>1)严格执行安全用电规范,用电人员必须佩戴劳保用品.</w:t>
            </w:r>
          </w:p>
          <w:p>
            <w:pPr>
              <w:spacing w:line="360" w:lineRule="auto"/>
              <w:rPr>
                <w:szCs w:val="22"/>
              </w:rPr>
            </w:pPr>
            <w:r>
              <w:rPr>
                <w:rFonts w:hint="eastAsia"/>
                <w:szCs w:val="22"/>
              </w:rPr>
              <w:t>2)组织相关岗位人员培训学习并认真贯彻实施上述规定。</w:t>
            </w:r>
          </w:p>
          <w:p>
            <w:pPr>
              <w:spacing w:line="360" w:lineRule="auto"/>
              <w:rPr>
                <w:szCs w:val="22"/>
              </w:rPr>
            </w:pPr>
            <w:r>
              <w:rPr>
                <w:rFonts w:hint="eastAsia"/>
                <w:szCs w:val="22"/>
              </w:rPr>
              <w:t>3加强办公过程检查,及时纠正违章操作行为。</w:t>
            </w:r>
          </w:p>
          <w:p>
            <w:pPr>
              <w:spacing w:line="360" w:lineRule="auto"/>
              <w:rPr>
                <w:szCs w:val="22"/>
              </w:rPr>
            </w:pPr>
            <w:r>
              <w:rPr>
                <w:rFonts w:hint="eastAsia"/>
                <w:szCs w:val="22"/>
              </w:rPr>
              <w:t>........</w:t>
            </w:r>
          </w:p>
          <w:p>
            <w:pPr>
              <w:spacing w:line="360" w:lineRule="auto"/>
              <w:ind w:firstLine="420" w:firstLineChars="200"/>
            </w:pPr>
            <w:r>
              <w:rPr>
                <w:rFonts w:hint="eastAsia"/>
                <w:szCs w:val="22"/>
              </w:rPr>
              <w:t>查见职业健康安全管理方案共计有3个，分别是1）意外交通事故；2）火灾；3）触电。方案针对目标及指标提出了管理措施，方案中有具体的实施时间及经费，有相应的实施主体。</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szCs w:val="21"/>
              </w:rPr>
            </w:pPr>
            <w:r>
              <w:rPr>
                <w:rFonts w:hint="eastAsia"/>
                <w:szCs w:val="21"/>
              </w:rPr>
              <w:t>运行策划和控制</w:t>
            </w:r>
          </w:p>
          <w:p>
            <w:pPr>
              <w:spacing w:line="360" w:lineRule="auto"/>
              <w:rPr>
                <w:b/>
                <w:szCs w:val="21"/>
              </w:rPr>
            </w:pPr>
          </w:p>
        </w:tc>
        <w:tc>
          <w:tcPr>
            <w:tcW w:w="998" w:type="dxa"/>
          </w:tcPr>
          <w:p>
            <w:pPr>
              <w:spacing w:line="360" w:lineRule="auto"/>
              <w:rPr>
                <w:b/>
                <w:szCs w:val="21"/>
              </w:rPr>
            </w:pPr>
            <w:r>
              <w:rPr>
                <w:rFonts w:hint="eastAsia"/>
                <w:szCs w:val="21"/>
              </w:rPr>
              <w:t>E</w:t>
            </w:r>
            <w:r>
              <w:rPr>
                <w:szCs w:val="21"/>
              </w:rPr>
              <w:t>O</w:t>
            </w:r>
            <w:r>
              <w:rPr>
                <w:rFonts w:hint="eastAsia"/>
                <w:szCs w:val="21"/>
              </w:rPr>
              <w:t>8.1</w:t>
            </w:r>
          </w:p>
        </w:tc>
        <w:tc>
          <w:tcPr>
            <w:tcW w:w="10004" w:type="dxa"/>
            <w:vAlign w:val="center"/>
          </w:tcPr>
          <w:p>
            <w:pPr>
              <w:spacing w:line="360" w:lineRule="auto"/>
              <w:ind w:firstLine="420" w:firstLineChars="200"/>
            </w:pPr>
            <w:r>
              <w:rPr>
                <w:rFonts w:hint="eastAsia"/>
              </w:rPr>
              <w:t>编制与环境、安全管理体系运行控制有关的文件有《环境因素识别与评价管理程序》、《危险源辨识与风险评价控制措施管理程序》、《相关方控制程序》等。</w:t>
            </w:r>
          </w:p>
          <w:p>
            <w:pPr>
              <w:spacing w:line="360" w:lineRule="auto"/>
              <w:ind w:firstLine="420" w:firstLineChars="200"/>
            </w:pPr>
            <w:r>
              <w:rPr>
                <w:rFonts w:hint="eastAsia"/>
              </w:rPr>
              <w:t>根据过程的运行准则，组织实施资源能源的消耗控制火灾预防、职业健康安全事故防范等过程的控制，避免和减少了环境职业健康安全的损失。</w:t>
            </w:r>
          </w:p>
          <w:p>
            <w:pPr>
              <w:spacing w:line="360" w:lineRule="auto"/>
              <w:ind w:firstLine="420" w:firstLineChars="200"/>
            </w:pPr>
            <w:r>
              <w:rPr>
                <w:rFonts w:hint="eastAsia"/>
              </w:rPr>
              <w:t>消防设施检查、节能降耗运行检查、火灾预防运行检查、安全环境检查等关键运行控制信息的证据都以记录或文件的方式保留。</w:t>
            </w:r>
          </w:p>
          <w:p>
            <w:pPr>
              <w:spacing w:line="360" w:lineRule="auto"/>
              <w:ind w:firstLine="420" w:firstLineChars="200"/>
            </w:pPr>
            <w:r>
              <w:rPr>
                <w:rFonts w:hint="eastAsia"/>
              </w:rPr>
              <w:t>1、废水管控</w:t>
            </w:r>
          </w:p>
          <w:p>
            <w:pPr>
              <w:spacing w:line="360" w:lineRule="auto"/>
              <w:ind w:firstLine="420" w:firstLineChars="200"/>
            </w:pPr>
            <w:r>
              <w:rPr>
                <w:rFonts w:hint="eastAsia"/>
              </w:rPr>
              <w:t>主要生活废水排入政府污水管网统一处理。</w:t>
            </w:r>
          </w:p>
          <w:p>
            <w:pPr>
              <w:spacing w:line="360" w:lineRule="auto"/>
              <w:ind w:firstLine="420" w:firstLineChars="200"/>
            </w:pPr>
            <w:r>
              <w:rPr>
                <w:rFonts w:hint="eastAsia"/>
              </w:rPr>
              <w:t>2、固废管控</w:t>
            </w:r>
          </w:p>
          <w:p>
            <w:pPr>
              <w:spacing w:line="360" w:lineRule="auto"/>
              <w:ind w:firstLine="420" w:firstLineChars="200"/>
            </w:pPr>
            <w:r>
              <w:rPr>
                <w:rFonts w:hint="eastAsia"/>
              </w:rPr>
              <w:t>生活垃圾在办公区域集中收集后，由物业管理交环卫部门统一定期清运；回收固废处理（包括危险固废如墨盒、硒鼓等）作好分类，标识交供应商回收。</w:t>
            </w:r>
            <w:r>
              <w:rPr>
                <w:rFonts w:hint="eastAsia"/>
                <w:lang w:val="en-US" w:eastAsia="zh-CN"/>
              </w:rPr>
              <w:t>检定校准过程产生的废液控制方式见计量部E8.1条款。</w:t>
            </w:r>
          </w:p>
          <w:p>
            <w:pPr>
              <w:pStyle w:val="17"/>
              <w:numPr>
                <w:ilvl w:val="0"/>
                <w:numId w:val="1"/>
              </w:numPr>
              <w:spacing w:line="360" w:lineRule="auto"/>
              <w:ind w:firstLineChars="0"/>
            </w:pPr>
            <w:r>
              <w:rPr>
                <w:rFonts w:hint="eastAsia"/>
              </w:rPr>
              <w:t>能源资源管控</w:t>
            </w:r>
          </w:p>
          <w:p>
            <w:pPr>
              <w:spacing w:line="360" w:lineRule="auto"/>
              <w:ind w:firstLine="420" w:firstLineChars="200"/>
            </w:pPr>
            <w:r>
              <w:rPr>
                <w:rFonts w:hint="eastAsia"/>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spacing w:line="360" w:lineRule="auto"/>
              <w:ind w:firstLine="420" w:firstLineChars="200"/>
            </w:pPr>
            <w:r>
              <w:t>4</w:t>
            </w:r>
            <w:r>
              <w:rPr>
                <w:rFonts w:hint="eastAsia"/>
              </w:rPr>
              <w:t>、潜在火灾管控</w:t>
            </w:r>
          </w:p>
          <w:p>
            <w:pPr>
              <w:spacing w:line="360" w:lineRule="auto"/>
              <w:ind w:firstLine="420" w:firstLineChars="200"/>
            </w:pPr>
            <w:r>
              <w:rPr>
                <w:rFonts w:hint="eastAsia"/>
              </w:rPr>
              <w:t>公司综合办公室现场配有灭火器和应急预案；组织相关人员进行培训；日常的检查；制定火灾应急预案。</w:t>
            </w:r>
          </w:p>
          <w:p>
            <w:pPr>
              <w:spacing w:line="360" w:lineRule="auto"/>
              <w:ind w:firstLine="420" w:firstLineChars="200"/>
            </w:pPr>
            <w:r>
              <w:t>5</w:t>
            </w:r>
            <w:r>
              <w:rPr>
                <w:rFonts w:hint="eastAsia"/>
              </w:rPr>
              <w:t>、安全防护</w:t>
            </w:r>
          </w:p>
          <w:p>
            <w:pPr>
              <w:spacing w:line="360" w:lineRule="auto"/>
              <w:ind w:firstLine="420" w:firstLineChars="200"/>
            </w:pPr>
            <w:r>
              <w:rPr>
                <w:rFonts w:hint="eastAsia"/>
              </w:rPr>
              <w:t>疫情期间进出公司人员进行温度登记，查看健康码，公司给员工发放口罩等劳保用品，不允许私拉乱扔。对相关方施加影响</w:t>
            </w:r>
          </w:p>
          <w:p>
            <w:pPr>
              <w:spacing w:line="360" w:lineRule="auto"/>
              <w:ind w:firstLine="420" w:firstLineChars="200"/>
              <w:rPr>
                <w:rFonts w:hint="eastAsia"/>
              </w:rPr>
            </w:pPr>
            <w:r>
              <w:rPr>
                <w:rFonts w:hint="eastAsia"/>
              </w:rPr>
              <w:t>组织对进入场所内的供方送货员、访客视情况由安保人员或受访人提醒、签定安全协议等方式，告知相关遵守相应的运行准则，以防止外来人员受到人身伤害或职业健康安危害。</w:t>
            </w:r>
          </w:p>
          <w:p>
            <w:pPr>
              <w:pStyle w:val="2"/>
            </w:pPr>
            <w:r>
              <w:rPr>
                <w:rFonts w:hint="eastAsia" w:ascii="Times New Roman" w:hAnsi="Times New Roman" w:eastAsia="宋体" w:cs="Times New Roman"/>
                <w:b/>
                <w:bCs/>
                <w:kern w:val="2"/>
                <w:sz w:val="21"/>
                <w:lang w:val="en-US" w:eastAsia="zh-CN" w:bidi="ar-SA"/>
              </w:rPr>
              <w:t>企业未能提供消防器材的点检记录。</w:t>
            </w:r>
          </w:p>
        </w:tc>
        <w:tc>
          <w:tcPr>
            <w:tcW w:w="1585" w:type="dxa"/>
          </w:tcPr>
          <w:p>
            <w:pPr>
              <w:spacing w:line="360" w:lineRule="auto"/>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b/>
                <w:szCs w:val="21"/>
                <w:highlight w:val="none"/>
              </w:rPr>
            </w:pPr>
            <w:r>
              <w:rPr>
                <w:rFonts w:hint="eastAsia" w:ascii="宋体" w:hAnsi="宋体" w:cs="宋体"/>
                <w:szCs w:val="21"/>
                <w:highlight w:val="none"/>
              </w:rPr>
              <w:t>应急响应和准备</w:t>
            </w:r>
          </w:p>
        </w:tc>
        <w:tc>
          <w:tcPr>
            <w:tcW w:w="998" w:type="dxa"/>
          </w:tcPr>
          <w:p>
            <w:pPr>
              <w:spacing w:line="360" w:lineRule="auto"/>
              <w:rPr>
                <w:szCs w:val="21"/>
                <w:highlight w:val="none"/>
              </w:rPr>
            </w:pPr>
            <w:r>
              <w:rPr>
                <w:rFonts w:hint="eastAsia"/>
                <w:szCs w:val="21"/>
                <w:highlight w:val="none"/>
              </w:rPr>
              <w:t>E</w:t>
            </w:r>
            <w:r>
              <w:rPr>
                <w:szCs w:val="21"/>
                <w:highlight w:val="none"/>
              </w:rPr>
              <w:t>O</w:t>
            </w:r>
            <w:r>
              <w:rPr>
                <w:rFonts w:hint="eastAsia"/>
                <w:szCs w:val="21"/>
                <w:highlight w:val="none"/>
              </w:rPr>
              <w:t>8.2</w:t>
            </w:r>
          </w:p>
        </w:tc>
        <w:tc>
          <w:tcPr>
            <w:tcW w:w="10004" w:type="dxa"/>
            <w:vAlign w:val="center"/>
          </w:tcPr>
          <w:p>
            <w:pPr>
              <w:spacing w:line="360" w:lineRule="auto"/>
              <w:ind w:firstLine="420" w:firstLineChars="200"/>
              <w:rPr>
                <w:szCs w:val="22"/>
              </w:rPr>
            </w:pPr>
            <w:r>
              <w:rPr>
                <w:rFonts w:hint="eastAsia"/>
                <w:szCs w:val="22"/>
              </w:rPr>
              <w:t>编制了《应急准备和响应管理程序》，查看内容基本符合要求。</w:t>
            </w:r>
          </w:p>
          <w:p>
            <w:pPr>
              <w:tabs>
                <w:tab w:val="left" w:pos="1080"/>
              </w:tabs>
              <w:adjustRightInd w:val="0"/>
              <w:snapToGrid w:val="0"/>
              <w:spacing w:line="360" w:lineRule="auto"/>
              <w:ind w:firstLine="420" w:firstLineChars="200"/>
              <w:rPr>
                <w:szCs w:val="22"/>
              </w:rPr>
            </w:pPr>
            <w:r>
              <w:rPr>
                <w:rFonts w:hint="eastAsia"/>
                <w:szCs w:val="22"/>
              </w:rPr>
              <w:t>公司策划了触电应急演练、消防灭火应急演练预案等应急预案。</w:t>
            </w:r>
          </w:p>
          <w:p>
            <w:pPr>
              <w:spacing w:line="360" w:lineRule="auto"/>
              <w:ind w:firstLine="420" w:firstLineChars="200"/>
              <w:rPr>
                <w:szCs w:val="22"/>
              </w:rPr>
            </w:pPr>
            <w:r>
              <w:rPr>
                <w:rFonts w:hint="eastAsia"/>
                <w:szCs w:val="22"/>
              </w:rPr>
              <w:t>查应急预案评估报告，通过以上评估，公司应急预案的制定基本合理。</w:t>
            </w:r>
          </w:p>
          <w:p>
            <w:pPr>
              <w:spacing w:line="360" w:lineRule="auto"/>
              <w:ind w:firstLine="420" w:firstLineChars="200"/>
              <w:rPr>
                <w:szCs w:val="22"/>
              </w:rPr>
            </w:pPr>
            <w:r>
              <w:rPr>
                <w:rFonts w:hint="eastAsia"/>
                <w:szCs w:val="22"/>
              </w:rPr>
              <w:t>查公司消防灭火演练，应急演练记录。</w:t>
            </w:r>
          </w:p>
          <w:p>
            <w:pPr>
              <w:widowControl/>
              <w:ind w:firstLine="420" w:firstLineChars="200"/>
              <w:rPr>
                <w:rFonts w:ascii="宋体" w:hAnsi="宋体"/>
                <w:kern w:val="0"/>
                <w:sz w:val="24"/>
                <w:szCs w:val="24"/>
              </w:rPr>
            </w:pPr>
            <w:r>
              <w:rPr>
                <w:rFonts w:hint="eastAsia"/>
                <w:szCs w:val="22"/>
              </w:rPr>
              <w:t>消防灭火演练，演练时间2021年9月19日下午15点30分，指挥员：</w:t>
            </w:r>
            <w:r>
              <w:rPr>
                <w:rFonts w:hint="eastAsia" w:ascii="宋体" w:hAnsi="宋体"/>
                <w:kern w:val="0"/>
                <w:sz w:val="24"/>
                <w:szCs w:val="24"/>
              </w:rPr>
              <w:t>胡民安，</w:t>
            </w:r>
            <w:r>
              <w:rPr>
                <w:rFonts w:hint="eastAsia"/>
                <w:szCs w:val="22"/>
              </w:rPr>
              <w:t>地点在锐安工地，各部门员工积极踊跃参加灭火实操演练；通过演习，员工们学会了使用灭火器，防范意识和应急逃生自救的能力也有一定程度的提高，了解并掌握了如何识别危险，如何采取必要的应急措施，如何疏散人群等基本操作。并对整个演练过程进行了有效性进</w:t>
            </w:r>
            <w:r>
              <w:rPr>
                <w:rFonts w:hint="eastAsia"/>
              </w:rPr>
              <w:t>行的评价。</w:t>
            </w:r>
          </w:p>
          <w:p>
            <w:pPr>
              <w:pStyle w:val="2"/>
              <w:ind w:firstLine="420" w:firstLineChars="200"/>
              <w:rPr>
                <w:b w:val="0"/>
                <w:bCs w:val="0"/>
                <w:sz w:val="21"/>
                <w:szCs w:val="22"/>
              </w:rPr>
            </w:pPr>
            <w:r>
              <w:rPr>
                <w:rFonts w:hint="eastAsia"/>
                <w:b w:val="0"/>
                <w:bCs w:val="0"/>
                <w:sz w:val="21"/>
                <w:szCs w:val="22"/>
              </w:rPr>
              <w:t>查公司触电应急演练，应急演练记录。</w:t>
            </w:r>
          </w:p>
          <w:p>
            <w:pPr>
              <w:ind w:firstLine="420" w:firstLineChars="200"/>
              <w:rPr>
                <w:szCs w:val="22"/>
              </w:rPr>
            </w:pPr>
            <w:r>
              <w:rPr>
                <w:rFonts w:hint="eastAsia"/>
                <w:szCs w:val="22"/>
              </w:rPr>
              <w:t>触电应急演练，演练时间2021年9月18日，在管代赵洁的带领下，依据《触电应急救援预案》程序演练，设定为触电抢险，熟练掌握触电应急的方法。</w:t>
            </w:r>
          </w:p>
          <w:p>
            <w:pPr>
              <w:pStyle w:val="3"/>
              <w:rPr>
                <w:kern w:val="2"/>
                <w:szCs w:val="22"/>
              </w:rPr>
            </w:pPr>
            <w:r>
              <w:rPr>
                <w:rFonts w:hint="eastAsia"/>
                <w:szCs w:val="22"/>
              </w:rPr>
              <w:t>对整个演练过程进行了描述，并做了有效性</w:t>
            </w:r>
            <w:r>
              <w:rPr>
                <w:rFonts w:hint="eastAsia"/>
              </w:rPr>
              <w:t>的评价。</w:t>
            </w:r>
          </w:p>
          <w:p>
            <w:pPr>
              <w:pStyle w:val="3"/>
              <w:ind w:left="0"/>
            </w:pP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jc w:val="left"/>
              <w:rPr>
                <w:rFonts w:ascii="宋体" w:hAnsi="宋体" w:cs="宋体"/>
                <w:szCs w:val="21"/>
              </w:rPr>
            </w:pPr>
            <w:r>
              <w:rPr>
                <w:rFonts w:hint="eastAsia" w:ascii="宋体" w:hAnsi="宋体" w:cs="宋体"/>
                <w:szCs w:val="21"/>
              </w:rPr>
              <w:t>绩效 总则</w:t>
            </w:r>
          </w:p>
          <w:p>
            <w:pPr>
              <w:spacing w:line="360" w:lineRule="auto"/>
              <w:ind w:firstLine="420" w:firstLineChars="200"/>
              <w:rPr>
                <w:rFonts w:ascii="宋体" w:hAnsi="宋体" w:cs="宋体"/>
                <w:szCs w:val="21"/>
              </w:rPr>
            </w:pPr>
          </w:p>
        </w:tc>
        <w:tc>
          <w:tcPr>
            <w:tcW w:w="998" w:type="dxa"/>
          </w:tcPr>
          <w:p>
            <w:pPr>
              <w:spacing w:line="360" w:lineRule="auto"/>
              <w:rPr>
                <w:rFonts w:ascii="宋体" w:hAnsi="宋体" w:cs="宋体"/>
                <w:szCs w:val="21"/>
              </w:rPr>
            </w:pPr>
            <w:r>
              <w:rPr>
                <w:rFonts w:hint="eastAsia" w:ascii="宋体" w:hAnsi="宋体" w:cs="宋体"/>
                <w:szCs w:val="21"/>
              </w:rPr>
              <w:t>QEO9.1.1</w:t>
            </w:r>
          </w:p>
          <w:p>
            <w:pPr>
              <w:spacing w:line="360" w:lineRule="auto"/>
              <w:ind w:firstLine="420" w:firstLineChars="200"/>
              <w:rPr>
                <w:rFonts w:ascii="宋体" w:hAnsi="宋体" w:cs="宋体"/>
                <w:szCs w:val="21"/>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综合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9.3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ascii="宋体" w:hAnsi="宋体" w:cs="宋体"/>
                <w:szCs w:val="21"/>
              </w:rPr>
            </w:pPr>
            <w:r>
              <w:rPr>
                <w:rFonts w:hint="eastAsia" w:ascii="宋体" w:hAnsi="宋体" w:cs="Arial"/>
                <w:szCs w:val="21"/>
              </w:rPr>
              <w:t>分析与评价</w:t>
            </w:r>
          </w:p>
        </w:tc>
        <w:tc>
          <w:tcPr>
            <w:tcW w:w="998" w:type="dxa"/>
          </w:tcPr>
          <w:p>
            <w:pPr>
              <w:spacing w:line="360" w:lineRule="auto"/>
              <w:rPr>
                <w:rFonts w:ascii="宋体" w:hAnsi="宋体" w:cs="宋体"/>
                <w:szCs w:val="21"/>
              </w:rPr>
            </w:pPr>
            <w:r>
              <w:rPr>
                <w:rFonts w:hint="eastAsia" w:ascii="宋体" w:hAnsi="宋体" w:cs="宋体"/>
                <w:szCs w:val="21"/>
              </w:rPr>
              <w:t>Q9.1.3</w:t>
            </w:r>
          </w:p>
        </w:tc>
        <w:tc>
          <w:tcPr>
            <w:tcW w:w="10004" w:type="dxa"/>
            <w:vAlign w:val="center"/>
          </w:tcPr>
          <w:p>
            <w:pPr>
              <w:spacing w:line="360" w:lineRule="auto"/>
              <w:ind w:firstLine="420" w:firstLineChars="200"/>
              <w:rPr>
                <w:rFonts w:ascii="宋体" w:hAnsi="宋体"/>
                <w:szCs w:val="21"/>
              </w:rPr>
            </w:pPr>
            <w:r>
              <w:rPr>
                <w:rFonts w:hint="eastAsia" w:ascii="宋体" w:hAnsi="宋体"/>
                <w:szCs w:val="21"/>
              </w:rPr>
              <w:t>经查：部门根据监视和测量获得的数据和信息，组织相关部门进行了分析评价。包括：对公司及各部门质量目标完成情见进行分析，确定管理体系运行状况（见管理评审输入）；对顾客满意有关的信息进行了分析，以确定顾客满意程度（见运营管理部9.1.2）；</w:t>
            </w:r>
          </w:p>
          <w:p>
            <w:pPr>
              <w:spacing w:line="360" w:lineRule="auto"/>
              <w:ind w:firstLine="420" w:firstLineChars="200"/>
              <w:rPr>
                <w:rFonts w:ascii="宋体" w:hAnsi="宋体"/>
                <w:szCs w:val="21"/>
              </w:rPr>
            </w:pPr>
            <w:r>
              <w:rPr>
                <w:rFonts w:hint="eastAsia" w:ascii="宋体" w:hAnsi="宋体"/>
                <w:szCs w:val="21"/>
              </w:rPr>
              <w:t>对内部审核的有关信息和应对风险措施的有效性进行分析，以确定管理管理体系的有效性（见综合办公室9.2）。</w:t>
            </w:r>
          </w:p>
          <w:p>
            <w:pPr>
              <w:spacing w:line="360" w:lineRule="auto"/>
              <w:ind w:firstLine="420" w:firstLineChars="200"/>
              <w:rPr>
                <w:rFonts w:ascii="宋体" w:hAnsi="宋体" w:cs="宋体"/>
                <w:szCs w:val="21"/>
              </w:rPr>
            </w:pPr>
            <w:r>
              <w:rPr>
                <w:rFonts w:hint="eastAsia" w:ascii="宋体" w:hAnsi="宋体"/>
                <w:szCs w:val="21"/>
              </w:rPr>
              <w:t>部门在汇总以上分析结果的基础上，分析针对风险和机遇所采取措施的有效性，积极寻找管理管理体系持续改进的机会，通过管理评审会议的改进决策进行管理管理体系的持续改进（见相关部门检查表）。</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98" w:type="dxa"/>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r>
              <w:rPr>
                <w:rFonts w:hint="eastAsia" w:ascii="宋体" w:hAnsi="宋体" w:cs="新宋体"/>
                <w:szCs w:val="21"/>
              </w:rPr>
              <w:t>S9.1</w:t>
            </w:r>
          </w:p>
        </w:tc>
        <w:tc>
          <w:tcPr>
            <w:tcW w:w="10004" w:type="dxa"/>
          </w:tcPr>
          <w:p>
            <w:pPr>
              <w:spacing w:line="480" w:lineRule="auto"/>
              <w:rPr>
                <w:rFonts w:ascii="宋体" w:hAnsi="宋体" w:cs="宋体"/>
                <w:szCs w:val="21"/>
              </w:rPr>
            </w:pPr>
            <w:r>
              <w:rPr>
                <w:rFonts w:hint="eastAsia" w:ascii="宋体" w:hAnsi="宋体" w:cs="宋体"/>
                <w:szCs w:val="21"/>
              </w:rPr>
              <w:t>----有《环境与职业健康安全运行管理制度》和管理文件。</w:t>
            </w:r>
          </w:p>
          <w:p>
            <w:pPr>
              <w:spacing w:line="480" w:lineRule="auto"/>
              <w:rPr>
                <w:rFonts w:ascii="宋体" w:hAnsi="宋体" w:cs="宋体"/>
                <w:szCs w:val="21"/>
              </w:rPr>
            </w:pPr>
            <w:r>
              <w:rPr>
                <w:rFonts w:hint="eastAsia" w:ascii="宋体" w:hAnsi="宋体" w:cs="宋体"/>
                <w:szCs w:val="21"/>
              </w:rPr>
              <w:t>◆查公司环境安全运行检查记录表</w:t>
            </w:r>
          </w:p>
          <w:p>
            <w:pPr>
              <w:spacing w:line="480" w:lineRule="auto"/>
              <w:ind w:firstLine="210" w:firstLineChars="100"/>
              <w:rPr>
                <w:szCs w:val="21"/>
              </w:rPr>
            </w:pPr>
            <w:r>
              <w:rPr>
                <w:rFonts w:hint="eastAsia" w:ascii="宋体" w:hAnsi="宋体" w:cs="宋体"/>
                <w:szCs w:val="21"/>
              </w:rPr>
              <w:t>程序文件规定公司每月由综合办公室组织人员对公司办公场所和服务场所的环境方面、安全消防方面的工程作业固体废弃物处理、生活垃圾处理、消防器材保养和检查等进行检查，检查结论：合格。提供有202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年12月份的安全环境检查月报记录。</w:t>
            </w:r>
          </w:p>
          <w:p>
            <w:pPr>
              <w:spacing w:line="480" w:lineRule="auto"/>
              <w:ind w:firstLine="420" w:firstLineChars="200"/>
              <w:rPr>
                <w:szCs w:val="21"/>
              </w:rPr>
            </w:pPr>
            <w:r>
              <w:rPr>
                <w:rFonts w:hint="eastAsia"/>
                <w:szCs w:val="21"/>
              </w:rPr>
              <w:t>查公司为员工交社保的情况：</w:t>
            </w:r>
          </w:p>
          <w:p>
            <w:pPr>
              <w:pStyle w:val="4"/>
              <w:rPr>
                <w:szCs w:val="21"/>
              </w:rPr>
            </w:pPr>
            <w:r>
              <w:drawing>
                <wp:anchor distT="0" distB="0" distL="114300" distR="114300" simplePos="0" relativeHeight="251662336" behindDoc="0" locked="0" layoutInCell="1" allowOverlap="1">
                  <wp:simplePos x="0" y="0"/>
                  <wp:positionH relativeFrom="column">
                    <wp:posOffset>596900</wp:posOffset>
                  </wp:positionH>
                  <wp:positionV relativeFrom="paragraph">
                    <wp:posOffset>3810</wp:posOffset>
                  </wp:positionV>
                  <wp:extent cx="4705985" cy="3091815"/>
                  <wp:effectExtent l="0" t="0" r="5715" b="6985"/>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4705985" cy="3091815"/>
                          </a:xfrm>
                          <a:prstGeom prst="rect">
                            <a:avLst/>
                          </a:prstGeom>
                          <a:noFill/>
                          <a:ln>
                            <a:noFill/>
                          </a:ln>
                        </pic:spPr>
                      </pic:pic>
                    </a:graphicData>
                  </a:graphic>
                </wp:anchor>
              </w:drawing>
            </w:r>
          </w:p>
          <w:p>
            <w:pPr>
              <w:pStyle w:val="4"/>
              <w:rPr>
                <w:szCs w:val="21"/>
              </w:rPr>
            </w:pPr>
          </w:p>
          <w:p>
            <w:pPr>
              <w:pStyle w:val="4"/>
              <w:rPr>
                <w:szCs w:val="21"/>
              </w:rPr>
            </w:pPr>
          </w:p>
          <w:p>
            <w:pPr>
              <w:pStyle w:val="4"/>
              <w:rPr>
                <w:szCs w:val="21"/>
              </w:rPr>
            </w:pPr>
          </w:p>
          <w:p>
            <w:pPr>
              <w:pStyle w:val="4"/>
              <w:rPr>
                <w:szCs w:val="21"/>
              </w:rPr>
            </w:pPr>
          </w:p>
          <w:p>
            <w:pPr>
              <w:pStyle w:val="4"/>
              <w:rPr>
                <w:szCs w:val="21"/>
              </w:rPr>
            </w:pPr>
          </w:p>
          <w:p>
            <w:pPr>
              <w:pStyle w:val="4"/>
              <w:rPr>
                <w:szCs w:val="21"/>
              </w:rPr>
            </w:pPr>
          </w:p>
          <w:p>
            <w:pPr>
              <w:pStyle w:val="4"/>
              <w:rPr>
                <w:szCs w:val="21"/>
              </w:rPr>
            </w:pPr>
          </w:p>
          <w:p>
            <w:pPr>
              <w:pStyle w:val="4"/>
              <w:rPr>
                <w:szCs w:val="21"/>
              </w:rPr>
            </w:pPr>
          </w:p>
          <w:p>
            <w:pPr>
              <w:pStyle w:val="4"/>
              <w:rPr>
                <w:szCs w:val="21"/>
              </w:rPr>
            </w:pPr>
          </w:p>
          <w:p>
            <w:pPr>
              <w:pStyle w:val="4"/>
              <w:rPr>
                <w:szCs w:val="21"/>
              </w:rPr>
            </w:pPr>
          </w:p>
          <w:p>
            <w:pPr>
              <w:spacing w:line="360" w:lineRule="auto"/>
              <w:ind w:firstLine="420" w:firstLineChars="200"/>
              <w:rPr>
                <w:szCs w:val="21"/>
              </w:rPr>
            </w:pPr>
          </w:p>
          <w:p>
            <w:pPr>
              <w:pStyle w:val="10"/>
              <w:ind w:firstLine="500"/>
              <w:rPr>
                <w:rFonts w:ascii="宋体" w:hAnsi="宋体"/>
                <w:szCs w:val="21"/>
              </w:rPr>
            </w:pPr>
            <w:r>
              <w:rPr>
                <w:rFonts w:hint="eastAsia" w:ascii="宋体" w:hAnsi="宋体"/>
                <w:szCs w:val="21"/>
              </w:rPr>
              <w:t>查《劳保用品分发记录》，公司为员工提供了劳保用品，主要为防暑用品、手套、工作服、口罩、消毒洗手液等防护用品。</w:t>
            </w:r>
          </w:p>
          <w:p>
            <w:pPr>
              <w:pStyle w:val="10"/>
              <w:ind w:firstLine="500"/>
              <w:rPr>
                <w:rFonts w:ascii="宋体" w:hAnsi="宋体"/>
                <w:szCs w:val="21"/>
              </w:rPr>
            </w:pPr>
            <w:r>
              <w:rPr>
                <w:rFonts w:hint="eastAsia" w:ascii="宋体" w:hAnsi="宋体"/>
                <w:szCs w:val="21"/>
                <w:lang w:val="en-US" w:eastAsia="zh-CN"/>
              </w:rPr>
              <w:t>查2021年为员工进行了体检，体检单位：西安日化医院，</w:t>
            </w:r>
            <w:r>
              <w:rPr>
                <w:rFonts w:hint="eastAsia" w:ascii="宋体" w:hAnsi="宋体"/>
                <w:szCs w:val="21"/>
              </w:rPr>
              <w:t>提供了员工胡民安体检</w:t>
            </w:r>
            <w:r>
              <w:rPr>
                <w:rFonts w:hint="eastAsia" w:ascii="宋体" w:hAnsi="宋体"/>
                <w:szCs w:val="21"/>
                <w:lang w:val="en-US" w:eastAsia="zh-CN"/>
              </w:rPr>
              <w:t>发票，体检报告由个人保管</w:t>
            </w:r>
            <w:r>
              <w:rPr>
                <w:rFonts w:hint="eastAsia" w:ascii="宋体" w:hAnsi="宋体"/>
                <w:szCs w:val="21"/>
              </w:rPr>
              <w:t>：</w:t>
            </w:r>
          </w:p>
          <w:p>
            <w:pPr>
              <w:pStyle w:val="10"/>
              <w:spacing w:line="360" w:lineRule="auto"/>
              <w:ind w:firstLine="500"/>
              <w:rPr>
                <w:rFonts w:hint="default" w:ascii="宋体" w:hAnsi="宋体" w:eastAsia="宋体"/>
                <w:szCs w:val="21"/>
                <w:lang w:val="en-US" w:eastAsia="zh-CN"/>
              </w:rPr>
            </w:pPr>
            <w:r>
              <w:rPr>
                <w:rFonts w:hint="default" w:ascii="宋体" w:hAnsi="宋体" w:eastAsia="宋体"/>
                <w:szCs w:val="21"/>
                <w:lang w:val="en-US" w:eastAsia="zh-CN"/>
              </w:rPr>
              <w:drawing>
                <wp:anchor distT="0" distB="0" distL="114300" distR="114300" simplePos="0" relativeHeight="251664384" behindDoc="0" locked="0" layoutInCell="1" allowOverlap="1">
                  <wp:simplePos x="0" y="0"/>
                  <wp:positionH relativeFrom="column">
                    <wp:posOffset>2120900</wp:posOffset>
                  </wp:positionH>
                  <wp:positionV relativeFrom="paragraph">
                    <wp:posOffset>110490</wp:posOffset>
                  </wp:positionV>
                  <wp:extent cx="1954530" cy="2606040"/>
                  <wp:effectExtent l="0" t="0" r="1270" b="10160"/>
                  <wp:wrapNone/>
                  <wp:docPr id="13" name="图片 13" descr="梁涛-体检发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梁涛-体检发票"/>
                          <pic:cNvPicPr>
                            <a:picLocks noChangeAspect="1"/>
                          </pic:cNvPicPr>
                        </pic:nvPicPr>
                        <pic:blipFill>
                          <a:blip r:embed="rId8"/>
                          <a:stretch>
                            <a:fillRect/>
                          </a:stretch>
                        </pic:blipFill>
                        <pic:spPr>
                          <a:xfrm>
                            <a:off x="0" y="0"/>
                            <a:ext cx="1954530" cy="260604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88900</wp:posOffset>
                  </wp:positionH>
                  <wp:positionV relativeFrom="paragraph">
                    <wp:posOffset>116840</wp:posOffset>
                  </wp:positionV>
                  <wp:extent cx="1955165" cy="2607310"/>
                  <wp:effectExtent l="0" t="0" r="635" b="8890"/>
                  <wp:wrapNone/>
                  <wp:docPr id="12" name="图片 12" descr="蒋刚-体检发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蒋刚-体检发票"/>
                          <pic:cNvPicPr>
                            <a:picLocks noChangeAspect="1"/>
                          </pic:cNvPicPr>
                        </pic:nvPicPr>
                        <pic:blipFill>
                          <a:blip r:embed="rId9"/>
                          <a:stretch>
                            <a:fillRect/>
                          </a:stretch>
                        </pic:blipFill>
                        <pic:spPr>
                          <a:xfrm>
                            <a:off x="0" y="0"/>
                            <a:ext cx="1955165" cy="260731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65408" behindDoc="0" locked="0" layoutInCell="1" allowOverlap="1">
                  <wp:simplePos x="0" y="0"/>
                  <wp:positionH relativeFrom="column">
                    <wp:posOffset>4171950</wp:posOffset>
                  </wp:positionH>
                  <wp:positionV relativeFrom="paragraph">
                    <wp:posOffset>111125</wp:posOffset>
                  </wp:positionV>
                  <wp:extent cx="1948180" cy="2597785"/>
                  <wp:effectExtent l="0" t="0" r="7620" b="5715"/>
                  <wp:wrapNone/>
                  <wp:docPr id="14" name="图片 14" descr="史艳维-体检发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史艳维-体检发票"/>
                          <pic:cNvPicPr>
                            <a:picLocks noChangeAspect="1"/>
                          </pic:cNvPicPr>
                        </pic:nvPicPr>
                        <pic:blipFill>
                          <a:blip r:embed="rId10"/>
                          <a:stretch>
                            <a:fillRect/>
                          </a:stretch>
                        </pic:blipFill>
                        <pic:spPr>
                          <a:xfrm>
                            <a:off x="0" y="0"/>
                            <a:ext cx="1948180" cy="2597785"/>
                          </a:xfrm>
                          <a:prstGeom prst="rect">
                            <a:avLst/>
                          </a:prstGeom>
                        </pic:spPr>
                      </pic:pic>
                    </a:graphicData>
                  </a:graphic>
                </wp:anchor>
              </w:drawing>
            </w:r>
            <w:r>
              <w:rPr>
                <w:rFonts w:hint="eastAsia" w:ascii="宋体" w:hAnsi="宋体"/>
                <w:szCs w:val="21"/>
                <w:lang w:val="en-US" w:eastAsia="zh-CN"/>
              </w:rPr>
              <w:t xml:space="preserve">  </w:t>
            </w:r>
          </w:p>
          <w:p>
            <w:pPr>
              <w:pStyle w:val="10"/>
              <w:spacing w:line="360" w:lineRule="auto"/>
              <w:ind w:firstLine="500"/>
              <w:rPr>
                <w:rFonts w:ascii="宋体" w:hAnsi="宋体"/>
                <w:szCs w:val="21"/>
              </w:rPr>
            </w:pPr>
          </w:p>
          <w:p>
            <w:pPr>
              <w:pStyle w:val="10"/>
              <w:spacing w:line="360" w:lineRule="auto"/>
              <w:ind w:firstLine="500"/>
              <w:rPr>
                <w:rFonts w:ascii="宋体" w:hAnsi="宋体"/>
                <w:szCs w:val="21"/>
              </w:rPr>
            </w:pPr>
          </w:p>
          <w:p>
            <w:pPr>
              <w:pStyle w:val="10"/>
              <w:spacing w:line="360" w:lineRule="auto"/>
              <w:ind w:firstLine="500"/>
              <w:rPr>
                <w:rFonts w:ascii="宋体" w:hAnsi="宋体"/>
                <w:szCs w:val="21"/>
              </w:rPr>
            </w:pPr>
          </w:p>
          <w:p>
            <w:pPr>
              <w:pStyle w:val="10"/>
              <w:spacing w:line="360" w:lineRule="auto"/>
              <w:ind w:firstLine="500"/>
              <w:rPr>
                <w:rFonts w:ascii="宋体" w:hAnsi="宋体"/>
                <w:szCs w:val="21"/>
              </w:rPr>
            </w:pPr>
          </w:p>
          <w:p>
            <w:pPr>
              <w:pStyle w:val="10"/>
              <w:spacing w:line="360" w:lineRule="auto"/>
              <w:ind w:firstLine="500"/>
              <w:rPr>
                <w:rFonts w:ascii="宋体" w:hAnsi="宋体"/>
                <w:szCs w:val="21"/>
              </w:rPr>
            </w:pPr>
          </w:p>
          <w:p>
            <w:pPr>
              <w:pStyle w:val="10"/>
              <w:spacing w:line="360" w:lineRule="auto"/>
              <w:ind w:firstLine="500"/>
              <w:rPr>
                <w:rFonts w:ascii="宋体" w:hAnsi="宋体"/>
                <w:szCs w:val="21"/>
              </w:rPr>
            </w:pPr>
          </w:p>
          <w:p>
            <w:pPr>
              <w:pStyle w:val="10"/>
              <w:spacing w:line="360" w:lineRule="auto"/>
              <w:ind w:firstLine="500"/>
              <w:rPr>
                <w:rFonts w:hint="eastAsia" w:ascii="宋体" w:hAnsi="宋体" w:eastAsia="宋体"/>
                <w:szCs w:val="21"/>
                <w:lang w:eastAsia="zh-CN"/>
              </w:rPr>
            </w:pPr>
          </w:p>
          <w:p>
            <w:pPr>
              <w:pStyle w:val="10"/>
              <w:spacing w:line="360" w:lineRule="auto"/>
              <w:ind w:firstLine="5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综合办公室运行控制基本符合规定要求。</w:t>
            </w:r>
          </w:p>
          <w:p>
            <w:pPr>
              <w:spacing w:line="360" w:lineRule="auto"/>
              <w:ind w:firstLine="420" w:firstLineChars="200"/>
              <w:rPr>
                <w:rFonts w:ascii="宋体" w:hAnsi="宋体" w:cs="宋体"/>
                <w:szCs w:val="21"/>
              </w:rPr>
            </w:pPr>
            <w:r>
              <w:rPr>
                <w:rFonts w:hint="eastAsia" w:ascii="宋体" w:hAnsi="宋体"/>
                <w:szCs w:val="21"/>
              </w:rPr>
              <w:t>部门运行控制能结合产品生命周期方法，基本符合规定要求。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pPr>
            <w:r>
              <w:rPr>
                <w:rFonts w:hint="eastAsia"/>
              </w:rPr>
              <w:t>内部审核</w:t>
            </w:r>
          </w:p>
        </w:tc>
        <w:tc>
          <w:tcPr>
            <w:tcW w:w="998" w:type="dxa"/>
          </w:tcPr>
          <w:p>
            <w:pPr>
              <w:spacing w:line="360" w:lineRule="auto"/>
            </w:pPr>
            <w:r>
              <w:rPr>
                <w:rFonts w:hint="eastAsia"/>
              </w:rPr>
              <w:t>QE</w:t>
            </w:r>
            <w:r>
              <w:t>O</w:t>
            </w:r>
            <w:r>
              <w:rPr>
                <w:rFonts w:hint="eastAsia"/>
              </w:rPr>
              <w:t>9.</w:t>
            </w:r>
            <w:r>
              <w:t>2</w:t>
            </w:r>
          </w:p>
        </w:tc>
        <w:tc>
          <w:tcPr>
            <w:tcW w:w="10004" w:type="dxa"/>
            <w:vAlign w:val="center"/>
          </w:tcPr>
          <w:p>
            <w:pPr>
              <w:spacing w:line="360" w:lineRule="auto"/>
              <w:ind w:firstLine="420" w:firstLineChars="200"/>
              <w:rPr>
                <w:szCs w:val="21"/>
              </w:rPr>
            </w:pPr>
            <w:r>
              <w:rPr>
                <w:rFonts w:hint="eastAsia"/>
                <w:szCs w:val="21"/>
              </w:rPr>
              <w:t>编制了《内部审核控制程序》，由管代定期组织每年进行一次内审，间隔不超过12月份，全体内审员参加。</w:t>
            </w:r>
          </w:p>
          <w:p>
            <w:pPr>
              <w:spacing w:line="360" w:lineRule="auto"/>
              <w:ind w:firstLine="420" w:firstLineChars="200"/>
              <w:rPr>
                <w:szCs w:val="21"/>
              </w:rPr>
            </w:pPr>
            <w:r>
              <w:rPr>
                <w:rFonts w:hint="eastAsia"/>
                <w:szCs w:val="21"/>
              </w:rPr>
              <w:t>依据</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-2020</w:t>
            </w:r>
            <w:r>
              <w:rPr>
                <w:rFonts w:hint="eastAsia"/>
                <w:szCs w:val="21"/>
              </w:rPr>
              <w:t>标准、体系文件、相关法律法规等.</w:t>
            </w:r>
          </w:p>
          <w:p>
            <w:pPr>
              <w:spacing w:line="360" w:lineRule="auto"/>
              <w:ind w:firstLine="420" w:firstLineChars="200"/>
              <w:rPr>
                <w:szCs w:val="21"/>
              </w:rPr>
            </w:pPr>
            <w:r>
              <w:rPr>
                <w:rFonts w:hint="eastAsia"/>
                <w:szCs w:val="21"/>
              </w:rPr>
              <w:t>提供《20</w:t>
            </w:r>
            <w:r>
              <w:rPr>
                <w:szCs w:val="21"/>
              </w:rPr>
              <w:t>2</w:t>
            </w:r>
            <w:r>
              <w:rPr>
                <w:rFonts w:hint="eastAsia"/>
                <w:szCs w:val="21"/>
              </w:rPr>
              <w:t>1年度内部审核计划》，内审安排1次。明确审核目的、范围、依据、日期（20</w:t>
            </w:r>
            <w:r>
              <w:rPr>
                <w:szCs w:val="21"/>
              </w:rPr>
              <w:t>2</w:t>
            </w:r>
            <w:r>
              <w:rPr>
                <w:rFonts w:hint="eastAsia"/>
                <w:szCs w:val="21"/>
              </w:rPr>
              <w:t>1</w:t>
            </w:r>
            <w:r>
              <w:rPr>
                <w:szCs w:val="21"/>
              </w:rPr>
              <w:t>.</w:t>
            </w:r>
            <w:r>
              <w:rPr>
                <w:rFonts w:hint="eastAsia"/>
                <w:szCs w:val="21"/>
              </w:rPr>
              <w:t>12.5），编制:赵洁  审批：赵平。</w:t>
            </w:r>
          </w:p>
          <w:p>
            <w:pPr>
              <w:spacing w:line="360" w:lineRule="auto"/>
              <w:ind w:firstLine="420" w:firstLineChars="200"/>
              <w:rPr>
                <w:szCs w:val="21"/>
              </w:rPr>
            </w:pPr>
            <w:r>
              <w:rPr>
                <w:rFonts w:hint="eastAsia"/>
                <w:szCs w:val="21"/>
              </w:rPr>
              <w:t>提供QEO《审核实施计划》；内部审核计划日程安排：2021.12.8-9，组长：赵洁，组员：</w:t>
            </w:r>
            <w:r>
              <w:rPr>
                <w:rFonts w:hint="eastAsia"/>
                <w:szCs w:val="21"/>
                <w:lang w:eastAsia="zh-CN"/>
              </w:rPr>
              <w:t>王妮</w:t>
            </w:r>
            <w:r>
              <w:rPr>
                <w:rFonts w:hint="eastAsia"/>
                <w:szCs w:val="21"/>
              </w:rPr>
              <w:t>，有培训记录和总经理的任命书；</w:t>
            </w:r>
          </w:p>
          <w:p>
            <w:pPr>
              <w:spacing w:line="360" w:lineRule="auto"/>
              <w:ind w:firstLine="420" w:firstLineChars="200"/>
              <w:rPr>
                <w:szCs w:val="21"/>
              </w:rPr>
            </w:pPr>
            <w:r>
              <w:rPr>
                <w:rFonts w:hint="eastAsia"/>
                <w:szCs w:val="21"/>
              </w:rPr>
              <w:t>审核目的、依据、范围和方法及审核安排，计划覆盖的部门或条款基本齐全，查看内审相关资料，内部质量管理体系审核实施，共有6人参加会议，其中：包括总经理、体系推行人、各部门负责人（查参加部门、人员基本齐全），计划内容涉及各部门，条款覆盖整个体系，时间安排合理。同时考虑到互查的公正性，有签到表。</w:t>
            </w:r>
          </w:p>
          <w:p>
            <w:pPr>
              <w:spacing w:line="360" w:lineRule="auto"/>
              <w:ind w:firstLine="420" w:firstLineChars="200"/>
              <w:rPr>
                <w:szCs w:val="21"/>
              </w:rPr>
            </w:pPr>
            <w:r>
              <w:rPr>
                <w:rFonts w:hint="eastAsia"/>
                <w:szCs w:val="21"/>
              </w:rPr>
              <w:t>查《内审检查表》，有</w:t>
            </w:r>
            <w:r>
              <w:rPr>
                <w:rFonts w:hint="eastAsia"/>
                <w:color w:val="000000"/>
                <w:szCs w:val="21"/>
              </w:rPr>
              <w:t>综合办公室、战略发展部、计量部、财务部、管理层</w:t>
            </w:r>
            <w:r>
              <w:rPr>
                <w:rFonts w:hint="eastAsia"/>
                <w:szCs w:val="21"/>
              </w:rPr>
              <w:t>等部门的审核记录，条款与策划一致，记录真实、完整。包括QEO体系所有条款，没有遗漏。</w:t>
            </w:r>
          </w:p>
          <w:p>
            <w:pPr>
              <w:spacing w:line="360" w:lineRule="auto"/>
              <w:ind w:firstLine="420" w:firstLineChars="200"/>
              <w:rPr>
                <w:szCs w:val="21"/>
              </w:rPr>
            </w:pPr>
            <w:r>
              <w:rPr>
                <w:rFonts w:hint="eastAsia"/>
                <w:szCs w:val="21"/>
              </w:rPr>
              <w:t>查《不合格报告》本次开具不符合报告1份，对于不符合项所采取的纠正等措施，各内审员逐一进行了验证。上述内容记录完整。</w:t>
            </w:r>
          </w:p>
          <w:p>
            <w:pPr>
              <w:spacing w:line="360" w:lineRule="auto"/>
              <w:ind w:firstLine="420" w:firstLineChars="200"/>
              <w:rPr>
                <w:szCs w:val="21"/>
              </w:rPr>
            </w:pPr>
            <w:r>
              <w:rPr>
                <w:rFonts w:hint="eastAsia"/>
                <w:szCs w:val="21"/>
              </w:rPr>
              <w:t>提供《内部审核报告》，结论： 公司建立的质量/环境/职业健康安全管理体系基本符合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w:t>
            </w:r>
            <w:r>
              <w:rPr>
                <w:rFonts w:hint="eastAsia"/>
                <w:szCs w:val="21"/>
              </w:rPr>
              <w:t>20</w:t>
            </w:r>
            <w:r>
              <w:rPr>
                <w:szCs w:val="21"/>
              </w:rPr>
              <w:t>20</w:t>
            </w:r>
            <w:r>
              <w:rPr>
                <w:rFonts w:hint="eastAsia"/>
                <w:szCs w:val="21"/>
              </w:rPr>
              <w:t>标准要求。管理体系的运行是适宜的、充分的、有效的。</w:t>
            </w:r>
          </w:p>
          <w:p>
            <w:pPr>
              <w:spacing w:line="360" w:lineRule="auto"/>
              <w:ind w:firstLine="480"/>
              <w:jc w:val="left"/>
              <w:rPr>
                <w:szCs w:val="21"/>
              </w:rPr>
            </w:pPr>
            <w:r>
              <w:rPr>
                <w:rFonts w:hint="eastAsia"/>
                <w:szCs w:val="21"/>
              </w:rPr>
              <w:t>查上述资料反映：能保留形成文件的信息，作为实施审核方案以及审核结果的证据。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pPr>
            <w:r>
              <w:rPr>
                <w:rFonts w:hint="eastAsia" w:ascii="宋体" w:hAnsi="宋体" w:cs="Arial"/>
                <w:szCs w:val="21"/>
              </w:rPr>
              <w:t>不符合/事件和纠正措施</w:t>
            </w:r>
          </w:p>
        </w:tc>
        <w:tc>
          <w:tcPr>
            <w:tcW w:w="998" w:type="dxa"/>
          </w:tcPr>
          <w:p>
            <w:pPr>
              <w:spacing w:line="360" w:lineRule="auto"/>
            </w:pPr>
            <w:r>
              <w:rPr>
                <w:rFonts w:hint="eastAsia"/>
              </w:rPr>
              <w:t>QE</w:t>
            </w:r>
            <w:r>
              <w:t>O</w:t>
            </w:r>
            <w:r>
              <w:rPr>
                <w:rFonts w:hint="eastAsia"/>
              </w:rPr>
              <w:t>10.</w:t>
            </w:r>
            <w:r>
              <w:t>2</w:t>
            </w:r>
          </w:p>
        </w:tc>
        <w:tc>
          <w:tcPr>
            <w:tcW w:w="10004" w:type="dxa"/>
            <w:vAlign w:val="center"/>
          </w:tcPr>
          <w:p>
            <w:pPr>
              <w:spacing w:line="360" w:lineRule="auto"/>
              <w:ind w:firstLine="480"/>
              <w:jc w:val="left"/>
              <w:rPr>
                <w:szCs w:val="21"/>
              </w:rPr>
            </w:pPr>
            <w:r>
              <w:rPr>
                <w:rFonts w:hint="eastAsia"/>
                <w:szCs w:val="21"/>
              </w:rPr>
              <w:t>查：公司编制有《不符合控制程序》《纠正措施控制程序》《预防措施控制程序》，规定了发现不合格应采取纠正措施的具体要求，并按要求进行了控制。</w:t>
            </w:r>
          </w:p>
          <w:p>
            <w:pPr>
              <w:spacing w:line="360" w:lineRule="auto"/>
              <w:ind w:firstLine="480"/>
              <w:jc w:val="left"/>
              <w:rPr>
                <w:szCs w:val="21"/>
              </w:rPr>
            </w:pPr>
            <w:r>
              <w:rPr>
                <w:rFonts w:hint="eastAsia"/>
                <w:szCs w:val="21"/>
              </w:rPr>
              <w:t>抽查内审《不符合报告》，针对内审中发现的不合格事实，责任部门进行了原因分析，制定了纠正措施并实施，涉及综合办公室7</w:t>
            </w:r>
            <w:r>
              <w:rPr>
                <w:rFonts w:hint="eastAsia"/>
                <w:szCs w:val="21"/>
                <w:lang w:val="en-US" w:eastAsia="zh-CN"/>
              </w:rPr>
              <w:t>.1.</w:t>
            </w:r>
            <w:r>
              <w:rPr>
                <w:rFonts w:hint="eastAsia"/>
                <w:szCs w:val="21"/>
              </w:rPr>
              <w:t>2条款的不符合项，经验证整改有效。</w:t>
            </w:r>
          </w:p>
          <w:p>
            <w:pPr>
              <w:spacing w:line="360" w:lineRule="auto"/>
              <w:ind w:firstLine="480"/>
              <w:jc w:val="left"/>
              <w:rPr>
                <w:szCs w:val="21"/>
              </w:rPr>
            </w:pPr>
            <w:r>
              <w:rPr>
                <w:rFonts w:hint="eastAsia"/>
                <w:szCs w:val="21"/>
              </w:rPr>
              <w:t>体系运行的</w:t>
            </w:r>
            <w:r>
              <w:rPr>
                <w:szCs w:val="21"/>
              </w:rPr>
              <w:t>其他方面经过日常工作检查和数据分析，暂未发现应采取纠正和预防措施的机会。日后应进一步加大日常工作检查力度，及时发现不符合及潜在不符合并及时采取相应措施，持续改进体系的有效性。</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pPr>
            <w:r>
              <w:rPr>
                <w:rFonts w:hint="eastAsia"/>
              </w:rPr>
              <w:t>备注：</w:t>
            </w:r>
          </w:p>
        </w:tc>
      </w:tr>
    </w:tbl>
    <w:p>
      <w:r>
        <w:ptab w:relativeTo="margin" w:alignment="center" w:leader="none"/>
      </w:r>
    </w:p>
    <w:p>
      <w:pPr>
        <w:pStyle w:val="6"/>
      </w:pPr>
      <w:r>
        <w:rPr>
          <w:rFonts w:hint="eastAsia"/>
        </w:rPr>
        <w:t>说明：不符合标注N</w:t>
      </w:r>
    </w:p>
    <w:p>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Col5DJwwEAAHkDAAAOAAAAAAAAAAEAIAAAACcBAABkcnMvZTJv&#10;RG9jLnhtbFBLBQYAAAAABgAGAFkBAABcBQAAAAA=&#1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14B16"/>
    <w:rsid w:val="00011ABE"/>
    <w:rsid w:val="00076C21"/>
    <w:rsid w:val="00077C88"/>
    <w:rsid w:val="000A75BA"/>
    <w:rsid w:val="000B0913"/>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15CE5"/>
    <w:rsid w:val="00237337"/>
    <w:rsid w:val="00242EC4"/>
    <w:rsid w:val="002533F4"/>
    <w:rsid w:val="00273847"/>
    <w:rsid w:val="002871F4"/>
    <w:rsid w:val="00287457"/>
    <w:rsid w:val="002B36EC"/>
    <w:rsid w:val="002C22A6"/>
    <w:rsid w:val="002E29A0"/>
    <w:rsid w:val="002E55EA"/>
    <w:rsid w:val="002F05BD"/>
    <w:rsid w:val="002F3816"/>
    <w:rsid w:val="003015FB"/>
    <w:rsid w:val="00302B0E"/>
    <w:rsid w:val="003273C2"/>
    <w:rsid w:val="003445A0"/>
    <w:rsid w:val="003541E0"/>
    <w:rsid w:val="00364D71"/>
    <w:rsid w:val="003738C3"/>
    <w:rsid w:val="00382525"/>
    <w:rsid w:val="00384FEF"/>
    <w:rsid w:val="00397D3F"/>
    <w:rsid w:val="003C254E"/>
    <w:rsid w:val="003E434A"/>
    <w:rsid w:val="0042030E"/>
    <w:rsid w:val="0043712F"/>
    <w:rsid w:val="004450A7"/>
    <w:rsid w:val="0046375D"/>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45CD"/>
    <w:rsid w:val="00646303"/>
    <w:rsid w:val="0066353B"/>
    <w:rsid w:val="00663A52"/>
    <w:rsid w:val="00665E60"/>
    <w:rsid w:val="00672093"/>
    <w:rsid w:val="00672CC5"/>
    <w:rsid w:val="00680222"/>
    <w:rsid w:val="006842EC"/>
    <w:rsid w:val="006E4E1C"/>
    <w:rsid w:val="006F2650"/>
    <w:rsid w:val="006F2C8A"/>
    <w:rsid w:val="00713C1D"/>
    <w:rsid w:val="00715292"/>
    <w:rsid w:val="00720780"/>
    <w:rsid w:val="007469D5"/>
    <w:rsid w:val="0075560B"/>
    <w:rsid w:val="00756C63"/>
    <w:rsid w:val="00761387"/>
    <w:rsid w:val="00774749"/>
    <w:rsid w:val="007861D2"/>
    <w:rsid w:val="00791BA1"/>
    <w:rsid w:val="00797BA7"/>
    <w:rsid w:val="007B4E33"/>
    <w:rsid w:val="007C5A7D"/>
    <w:rsid w:val="007C6A31"/>
    <w:rsid w:val="007D3A58"/>
    <w:rsid w:val="007E6050"/>
    <w:rsid w:val="00801B19"/>
    <w:rsid w:val="00814B16"/>
    <w:rsid w:val="008242EA"/>
    <w:rsid w:val="008265BB"/>
    <w:rsid w:val="00834CE8"/>
    <w:rsid w:val="0085042B"/>
    <w:rsid w:val="008631F9"/>
    <w:rsid w:val="008667F0"/>
    <w:rsid w:val="0087257E"/>
    <w:rsid w:val="00886729"/>
    <w:rsid w:val="008A1509"/>
    <w:rsid w:val="008B3B2F"/>
    <w:rsid w:val="008C01A2"/>
    <w:rsid w:val="008D2E87"/>
    <w:rsid w:val="008D3475"/>
    <w:rsid w:val="008D7CB4"/>
    <w:rsid w:val="00911D5E"/>
    <w:rsid w:val="0092791F"/>
    <w:rsid w:val="00934AD4"/>
    <w:rsid w:val="00954D65"/>
    <w:rsid w:val="00955C0E"/>
    <w:rsid w:val="00976860"/>
    <w:rsid w:val="00991AEB"/>
    <w:rsid w:val="00992529"/>
    <w:rsid w:val="009977CF"/>
    <w:rsid w:val="009B1072"/>
    <w:rsid w:val="009C310E"/>
    <w:rsid w:val="00A01526"/>
    <w:rsid w:val="00A23D1B"/>
    <w:rsid w:val="00A30F85"/>
    <w:rsid w:val="00A52229"/>
    <w:rsid w:val="00A730E9"/>
    <w:rsid w:val="00A76F84"/>
    <w:rsid w:val="00A86196"/>
    <w:rsid w:val="00A90CB7"/>
    <w:rsid w:val="00A94706"/>
    <w:rsid w:val="00AB5CFD"/>
    <w:rsid w:val="00AE6698"/>
    <w:rsid w:val="00B007F3"/>
    <w:rsid w:val="00B03AA7"/>
    <w:rsid w:val="00B119B7"/>
    <w:rsid w:val="00B361C1"/>
    <w:rsid w:val="00B531A8"/>
    <w:rsid w:val="00B53B05"/>
    <w:rsid w:val="00B6239E"/>
    <w:rsid w:val="00B6507C"/>
    <w:rsid w:val="00B75F54"/>
    <w:rsid w:val="00B923E4"/>
    <w:rsid w:val="00C277AC"/>
    <w:rsid w:val="00C41F32"/>
    <w:rsid w:val="00C4272D"/>
    <w:rsid w:val="00C44388"/>
    <w:rsid w:val="00C60EB8"/>
    <w:rsid w:val="00C827AA"/>
    <w:rsid w:val="00C856E9"/>
    <w:rsid w:val="00C92E48"/>
    <w:rsid w:val="00C94573"/>
    <w:rsid w:val="00CA1BE3"/>
    <w:rsid w:val="00CD1E5C"/>
    <w:rsid w:val="00CD4ED7"/>
    <w:rsid w:val="00CD58BC"/>
    <w:rsid w:val="00D05DB2"/>
    <w:rsid w:val="00D274D9"/>
    <w:rsid w:val="00D6037A"/>
    <w:rsid w:val="00D937E0"/>
    <w:rsid w:val="00DA0224"/>
    <w:rsid w:val="00DA22FF"/>
    <w:rsid w:val="00DB3FEF"/>
    <w:rsid w:val="00DE1A2C"/>
    <w:rsid w:val="00DE2FCE"/>
    <w:rsid w:val="00DF19AB"/>
    <w:rsid w:val="00DF52F2"/>
    <w:rsid w:val="00E0114F"/>
    <w:rsid w:val="00E11BD3"/>
    <w:rsid w:val="00E17655"/>
    <w:rsid w:val="00E219A3"/>
    <w:rsid w:val="00E41911"/>
    <w:rsid w:val="00E556FE"/>
    <w:rsid w:val="00E707CA"/>
    <w:rsid w:val="00E76E48"/>
    <w:rsid w:val="00E944DC"/>
    <w:rsid w:val="00E97080"/>
    <w:rsid w:val="00E97654"/>
    <w:rsid w:val="00EA2EA2"/>
    <w:rsid w:val="00EB1A5C"/>
    <w:rsid w:val="00EB6AAC"/>
    <w:rsid w:val="00ED41DC"/>
    <w:rsid w:val="00EE43A0"/>
    <w:rsid w:val="00EE6BAB"/>
    <w:rsid w:val="00EF1824"/>
    <w:rsid w:val="00F01F3E"/>
    <w:rsid w:val="00F05246"/>
    <w:rsid w:val="00F11424"/>
    <w:rsid w:val="00F13731"/>
    <w:rsid w:val="00F43847"/>
    <w:rsid w:val="00F43CC1"/>
    <w:rsid w:val="00F505F7"/>
    <w:rsid w:val="00F5455B"/>
    <w:rsid w:val="00F62C59"/>
    <w:rsid w:val="00F76D5C"/>
    <w:rsid w:val="00F85082"/>
    <w:rsid w:val="00FB5026"/>
    <w:rsid w:val="00FB6FAA"/>
    <w:rsid w:val="00FD096A"/>
    <w:rsid w:val="00FF01F3"/>
    <w:rsid w:val="00FF0A51"/>
    <w:rsid w:val="00FF1D21"/>
    <w:rsid w:val="00FF5E6D"/>
    <w:rsid w:val="01BD4AF8"/>
    <w:rsid w:val="020129FE"/>
    <w:rsid w:val="021522E9"/>
    <w:rsid w:val="032B7C93"/>
    <w:rsid w:val="047D4E9D"/>
    <w:rsid w:val="04B03A25"/>
    <w:rsid w:val="056D41CE"/>
    <w:rsid w:val="07377923"/>
    <w:rsid w:val="078522A3"/>
    <w:rsid w:val="081310A2"/>
    <w:rsid w:val="092F489E"/>
    <w:rsid w:val="0A755CD1"/>
    <w:rsid w:val="0B5E05CB"/>
    <w:rsid w:val="0B692B37"/>
    <w:rsid w:val="0C625E1B"/>
    <w:rsid w:val="0DE3632D"/>
    <w:rsid w:val="0EC6526F"/>
    <w:rsid w:val="10CC15C0"/>
    <w:rsid w:val="113D29BF"/>
    <w:rsid w:val="116E4D89"/>
    <w:rsid w:val="11B844E6"/>
    <w:rsid w:val="129057E6"/>
    <w:rsid w:val="12FD2E93"/>
    <w:rsid w:val="158E45BA"/>
    <w:rsid w:val="15CE07FC"/>
    <w:rsid w:val="163E2E11"/>
    <w:rsid w:val="167769A9"/>
    <w:rsid w:val="1A822FA7"/>
    <w:rsid w:val="1B3936B3"/>
    <w:rsid w:val="1BE846E9"/>
    <w:rsid w:val="1D8F5B9A"/>
    <w:rsid w:val="1DC40F3E"/>
    <w:rsid w:val="1E17525C"/>
    <w:rsid w:val="1EC7308C"/>
    <w:rsid w:val="1EED5939"/>
    <w:rsid w:val="1F591E4B"/>
    <w:rsid w:val="227B4D7D"/>
    <w:rsid w:val="22E81A15"/>
    <w:rsid w:val="24EE4865"/>
    <w:rsid w:val="257A46A2"/>
    <w:rsid w:val="257D44A6"/>
    <w:rsid w:val="26EB66E8"/>
    <w:rsid w:val="2B4C75CA"/>
    <w:rsid w:val="2EBF1259"/>
    <w:rsid w:val="315A769F"/>
    <w:rsid w:val="328D0D90"/>
    <w:rsid w:val="332F6E2E"/>
    <w:rsid w:val="33EC0E30"/>
    <w:rsid w:val="352411A6"/>
    <w:rsid w:val="35655683"/>
    <w:rsid w:val="357462AA"/>
    <w:rsid w:val="35B56C99"/>
    <w:rsid w:val="36106290"/>
    <w:rsid w:val="366131A6"/>
    <w:rsid w:val="36BE5965"/>
    <w:rsid w:val="37203C8D"/>
    <w:rsid w:val="37E42671"/>
    <w:rsid w:val="38837EA6"/>
    <w:rsid w:val="38B77B12"/>
    <w:rsid w:val="38CE76F2"/>
    <w:rsid w:val="38E44796"/>
    <w:rsid w:val="391D226E"/>
    <w:rsid w:val="395F4350"/>
    <w:rsid w:val="39DF646A"/>
    <w:rsid w:val="3B7924D0"/>
    <w:rsid w:val="3D2B29BB"/>
    <w:rsid w:val="3E676E01"/>
    <w:rsid w:val="3ED56DC4"/>
    <w:rsid w:val="3F1E1F7C"/>
    <w:rsid w:val="4074648A"/>
    <w:rsid w:val="418C5867"/>
    <w:rsid w:val="42684491"/>
    <w:rsid w:val="435A28E4"/>
    <w:rsid w:val="43FB2AF0"/>
    <w:rsid w:val="45060F3E"/>
    <w:rsid w:val="47432516"/>
    <w:rsid w:val="47AB2FC0"/>
    <w:rsid w:val="47D469F7"/>
    <w:rsid w:val="47EC179A"/>
    <w:rsid w:val="48012986"/>
    <w:rsid w:val="4913714F"/>
    <w:rsid w:val="4A95487A"/>
    <w:rsid w:val="4C7E4A49"/>
    <w:rsid w:val="4CBB7CB4"/>
    <w:rsid w:val="4DED56EF"/>
    <w:rsid w:val="4EF0704D"/>
    <w:rsid w:val="4EFE3272"/>
    <w:rsid w:val="4F3B0425"/>
    <w:rsid w:val="4FD138C7"/>
    <w:rsid w:val="51816C5F"/>
    <w:rsid w:val="52630829"/>
    <w:rsid w:val="52AC7220"/>
    <w:rsid w:val="52C15ED1"/>
    <w:rsid w:val="5493123C"/>
    <w:rsid w:val="5827195E"/>
    <w:rsid w:val="5AA5570D"/>
    <w:rsid w:val="5DA62ACB"/>
    <w:rsid w:val="5E407D9F"/>
    <w:rsid w:val="5E8414C5"/>
    <w:rsid w:val="62C20DB6"/>
    <w:rsid w:val="62E8549C"/>
    <w:rsid w:val="639A03A2"/>
    <w:rsid w:val="641807B5"/>
    <w:rsid w:val="67500C85"/>
    <w:rsid w:val="689D56E8"/>
    <w:rsid w:val="690E7415"/>
    <w:rsid w:val="693E7AF0"/>
    <w:rsid w:val="69F51D33"/>
    <w:rsid w:val="6B8122DC"/>
    <w:rsid w:val="6C0A5707"/>
    <w:rsid w:val="6E3312F4"/>
    <w:rsid w:val="6EA44CFD"/>
    <w:rsid w:val="6FC67861"/>
    <w:rsid w:val="701E3F32"/>
    <w:rsid w:val="723164F6"/>
    <w:rsid w:val="729B5296"/>
    <w:rsid w:val="72DA6CFE"/>
    <w:rsid w:val="73371E1F"/>
    <w:rsid w:val="7367290E"/>
    <w:rsid w:val="73C01D14"/>
    <w:rsid w:val="746D0F84"/>
    <w:rsid w:val="747D06DB"/>
    <w:rsid w:val="752D00F5"/>
    <w:rsid w:val="75422BB9"/>
    <w:rsid w:val="76B43CA8"/>
    <w:rsid w:val="774D21BB"/>
    <w:rsid w:val="789B5077"/>
    <w:rsid w:val="7A172C96"/>
    <w:rsid w:val="7A3F072B"/>
    <w:rsid w:val="7A695463"/>
    <w:rsid w:val="7AD237C2"/>
    <w:rsid w:val="7BC807EB"/>
    <w:rsid w:val="7EE530FF"/>
    <w:rsid w:val="7F683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99"/>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C947B-797B-424A-838F-09854AAD1CD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22</Pages>
  <Words>9278</Words>
  <Characters>9898</Characters>
  <Lines>74</Lines>
  <Paragraphs>20</Paragraphs>
  <TotalTime>1</TotalTime>
  <ScaleCrop>false</ScaleCrop>
  <LinksUpToDate>false</LinksUpToDate>
  <CharactersWithSpaces>10035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强子</cp:lastModifiedBy>
  <dcterms:modified xsi:type="dcterms:W3CDTF">2022-03-30T09:01:51Z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C8817FB7B09145B899C39AA7DEF62AD3</vt:lpwstr>
  </property>
</Properties>
</file>