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0" w:name="_GoBack"/>
      <w:bookmarkEnd w:id="0"/>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受审核部门：综合办公室/财务部    主管领导：赵洁陪同人员：</w:t>
            </w:r>
            <w:r>
              <w:rPr>
                <w:rFonts w:hint="eastAsia"/>
                <w:sz w:val="24"/>
                <w:szCs w:val="24"/>
                <w:lang w:eastAsia="zh-CN"/>
              </w:rPr>
              <w:t>王妮</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sz w:val="24"/>
                <w:szCs w:val="24"/>
              </w:rPr>
            </w:pPr>
            <w:r>
              <w:rPr>
                <w:rFonts w:hint="eastAsia"/>
                <w:sz w:val="24"/>
                <w:szCs w:val="24"/>
              </w:rPr>
              <w:t>审核员：郭力</w:t>
            </w:r>
            <w:r>
              <w:rPr>
                <w:rFonts w:hint="eastAsia"/>
                <w:sz w:val="24"/>
                <w:szCs w:val="24"/>
                <w:lang w:eastAsia="zh-CN"/>
              </w:rPr>
              <w:t>、</w:t>
            </w:r>
            <w:r>
              <w:rPr>
                <w:rFonts w:hint="eastAsia"/>
                <w:sz w:val="24"/>
                <w:szCs w:val="24"/>
                <w:lang w:val="en-US" w:eastAsia="zh-CN"/>
              </w:rPr>
              <w:t>赵亚亚</w:t>
            </w:r>
            <w:r>
              <w:rPr>
                <w:rFonts w:hint="eastAsia"/>
                <w:sz w:val="24"/>
                <w:szCs w:val="24"/>
              </w:rPr>
              <w:t xml:space="preserve">         审核时间：202</w:t>
            </w:r>
            <w:r>
              <w:rPr>
                <w:rFonts w:hint="eastAsia"/>
                <w:sz w:val="24"/>
                <w:szCs w:val="24"/>
                <w:lang w:val="en-US" w:eastAsia="zh-CN"/>
              </w:rPr>
              <w:t>2</w:t>
            </w:r>
            <w:r>
              <w:rPr>
                <w:rFonts w:hint="eastAsia"/>
                <w:sz w:val="24"/>
                <w:szCs w:val="24"/>
              </w:rPr>
              <w:t>年3月28日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adjustRightInd w:val="0"/>
              <w:snapToGrid w:val="0"/>
              <w:ind w:right="105" w:rightChars="50"/>
              <w:textAlignment w:val="baseline"/>
              <w:rPr>
                <w:rFonts w:ascii="宋体" w:hAnsi="宋体" w:cs="Arial"/>
                <w:spacing w:val="-6"/>
                <w:szCs w:val="21"/>
              </w:rPr>
            </w:pPr>
            <w:r>
              <w:rPr>
                <w:rFonts w:hint="eastAsia"/>
                <w:sz w:val="24"/>
                <w:szCs w:val="24"/>
              </w:rPr>
              <w:t>审核条款</w:t>
            </w:r>
            <w:r>
              <w:rPr>
                <w:rFonts w:hint="eastAsia" w:ascii="宋体" w:hAnsi="宋体" w:cs="Arial"/>
                <w:szCs w:val="21"/>
              </w:rPr>
              <w:t>QE:7.1.2、7.1.6、7.2、7.3、</w:t>
            </w:r>
            <w:r>
              <w:rPr>
                <w:rFonts w:hint="eastAsia" w:ascii="宋体" w:hAnsi="宋体" w:cs="Arial"/>
                <w:spacing w:val="-6"/>
                <w:szCs w:val="21"/>
              </w:rPr>
              <w:t>7.4、</w:t>
            </w:r>
            <w:r>
              <w:rPr>
                <w:rFonts w:hint="eastAsia" w:ascii="宋体" w:hAnsi="宋体" w:cs="Arial"/>
                <w:szCs w:val="21"/>
              </w:rPr>
              <w:t>7.5.1、7.5.2</w:t>
            </w:r>
            <w:r>
              <w:rPr>
                <w:rFonts w:hint="eastAsia" w:ascii="宋体" w:hAnsi="宋体" w:cs="Arial"/>
                <w:spacing w:val="-6"/>
                <w:szCs w:val="21"/>
              </w:rPr>
              <w:t>、7.5.3、9.1.3</w:t>
            </w:r>
          </w:p>
          <w:p>
            <w:pPr>
              <w:adjustRightInd w:val="0"/>
              <w:snapToGrid w:val="0"/>
              <w:ind w:right="105" w:rightChars="50"/>
              <w:textAlignment w:val="baseline"/>
              <w:rPr>
                <w:sz w:val="24"/>
                <w:szCs w:val="24"/>
              </w:rPr>
            </w:pPr>
            <w:r>
              <w:rPr>
                <w:rFonts w:hint="eastAsia" w:ascii="宋体" w:hAnsi="宋体" w:cs="Arial"/>
                <w:spacing w:val="-6"/>
                <w:szCs w:val="21"/>
              </w:rPr>
              <w:t xml:space="preserve">            E：</w:t>
            </w:r>
            <w:r>
              <w:rPr>
                <w:rFonts w:hint="eastAsia" w:asciiTheme="minorEastAsia" w:hAnsiTheme="minorEastAsia" w:eastAsiaTheme="minorEastAsia" w:cstheme="minorEastAsia"/>
                <w:szCs w:val="21"/>
              </w:rPr>
              <w:t>6.1.3、6.1.4、6.2.1、6.2.2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asciiTheme="minorEastAsia" w:hAnsiTheme="minorEastAsia" w:eastAsiaTheme="minorEastAsia" w:cstheme="minorEastAsia"/>
                <w:szCs w:val="21"/>
              </w:rPr>
              <w:t>环境因素识别及控制措施</w:t>
            </w:r>
          </w:p>
        </w:tc>
        <w:tc>
          <w:tcPr>
            <w:tcW w:w="998" w:type="dxa"/>
          </w:tcPr>
          <w:p>
            <w:r>
              <w:rPr>
                <w:rFonts w:hint="eastAsia" w:asciiTheme="minorEastAsia" w:hAnsiTheme="minorEastAsia" w:eastAsiaTheme="minorEastAsia" w:cstheme="minorEastAsia"/>
                <w:szCs w:val="21"/>
              </w:rPr>
              <w:t>E:6.1.4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编制《环境因素识别和评价控制程序》、《风险和机遇分析、评价和应对措施的确定程序》等程序，按照相关程序执行。</w:t>
            </w:r>
          </w:p>
          <w:p>
            <w:pPr>
              <w:spacing w:line="360" w:lineRule="auto"/>
              <w:ind w:firstLine="420" w:firstLineChars="200"/>
              <w:rPr>
                <w:rFonts w:ascii="宋体" w:hAnsi="宋体" w:cs="宋体"/>
                <w:szCs w:val="21"/>
              </w:rPr>
            </w:pPr>
            <w:r>
              <w:rPr>
                <w:rFonts w:hint="eastAsia" w:ascii="宋体" w:hAnsi="宋体" w:cs="宋体"/>
                <w:szCs w:val="21"/>
              </w:rPr>
              <w:t>提供《环境因素识别排查表》识别了办公区、计量器具的检定、校准、技术咨询及服务；仪器仪表的维护过程等环境因素包括：水的消耗、电的消耗、办公用品的消耗、汽车尾气的排放、生活垃圾的排放、纸箱、包装物的废弃物、电灯产生的废弃物等；</w:t>
            </w:r>
          </w:p>
          <w:p>
            <w:pPr>
              <w:spacing w:line="360" w:lineRule="auto"/>
              <w:ind w:firstLine="420" w:firstLineChars="200"/>
              <w:rPr>
                <w:rFonts w:ascii="宋体" w:hAnsi="宋体" w:cs="宋体"/>
                <w:szCs w:val="21"/>
              </w:rPr>
            </w:pPr>
            <w:r>
              <w:rPr>
                <w:rFonts w:hint="eastAsia" w:ascii="宋体" w:hAnsi="宋体" w:cs="宋体"/>
                <w:szCs w:val="21"/>
              </w:rPr>
              <w:t>提供《重要环境因素清单》2项，包括固废排放（材料包装物废弃、办公垃圾等）、火灾（</w:t>
            </w:r>
            <w:r>
              <w:rPr>
                <w:rFonts w:hint="eastAsia" w:ascii="宋体" w:hAnsi="宋体"/>
                <w:szCs w:val="21"/>
              </w:rPr>
              <w:t>办公过程潜在火灾的发生</w:t>
            </w:r>
            <w:r>
              <w:rPr>
                <w:rFonts w:hint="eastAsia" w:ascii="宋体" w:hAnsi="宋体" w:cs="宋体"/>
                <w:szCs w:val="21"/>
              </w:rPr>
              <w:t>）。</w:t>
            </w:r>
          </w:p>
          <w:p>
            <w:pPr>
              <w:pStyle w:val="10"/>
              <w:rPr>
                <w:rFonts w:ascii="宋体" w:hAnsi="宋体" w:cs="宋体"/>
                <w:szCs w:val="21"/>
              </w:rPr>
            </w:pPr>
            <w:r>
              <w:rPr>
                <w:rFonts w:hint="eastAsia" w:asciiTheme="minorEastAsia" w:hAnsiTheme="minorEastAsia" w:eastAsiaTheme="minorEastAsia" w:cstheme="minorEastAsia"/>
                <w:bCs w:val="0"/>
                <w:spacing w:val="0"/>
                <w:szCs w:val="21"/>
              </w:rPr>
              <w:t>以上重要环境因素清单中制定了针对性控制措施，措施基本有效。</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法律法规和其他要求和合规性评价</w:t>
            </w:r>
          </w:p>
        </w:tc>
        <w:tc>
          <w:tcPr>
            <w:tcW w:w="998" w:type="dxa"/>
          </w:tcPr>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E：6.1.3</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E：9.1.2</w:t>
            </w:r>
          </w:p>
          <w:p>
            <w:pPr>
              <w:spacing w:line="400" w:lineRule="exact"/>
              <w:jc w:val="left"/>
              <w:rPr>
                <w:rFonts w:asciiTheme="minorEastAsia" w:hAnsiTheme="minorEastAsia" w:eastAsiaTheme="minorEastAsia" w:cstheme="minorEastAsia"/>
                <w:szCs w:val="21"/>
              </w:rPr>
            </w:pPr>
          </w:p>
        </w:tc>
        <w:tc>
          <w:tcPr>
            <w:tcW w:w="1000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有XZY/CX-A-05法律法规及其他要求控制程序、XZY/CX-A-20合规性评价控制程序等，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见法律法规和其他要求一览表、合规性评价表，评审时间202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年10月30日，评审地点：公司会议室，记录人赵洁，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参加人员：总经理/：赵平</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综合办公室/管理者代表：赵洁</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财务部：</w:t>
            </w:r>
            <w:r>
              <w:rPr>
                <w:rFonts w:hint="eastAsia" w:asciiTheme="minorEastAsia" w:hAnsiTheme="minorEastAsia" w:eastAsiaTheme="minorEastAsia" w:cstheme="minorEastAsia"/>
                <w:szCs w:val="21"/>
                <w:lang w:eastAsia="zh-CN"/>
              </w:rPr>
              <w:t>王妮</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战略发展部：赵卫平</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计量部：胡民安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安全事务代表：潘志伟，抽查如下：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消防法》、陕西省消防条例、陕西省安全生产条例、陕西省重大危险源监督管理规定、危险化学品安全管理条例、污水综合排放标准、处置场污染控制标准、危险废物转移联单管理办法、陕西省实施《中华人民共和国环境影响评价法》办法、陕西省节约用水办法、国家突发环境事件应急预案、环境空气质量标准、陕西省化学危险品安全管理规定（试行）、突发环境事件应急预案编制导则等，控制措施及现状：已制定安全防火制度及应急预案。配备消防器材。重点场所标识禁火。定期巡查，消除隐患。每年进行至少一次消防演练。</w:t>
            </w:r>
          </w:p>
          <w:p>
            <w:pPr>
              <w:rPr>
                <w:rFonts w:ascii="宋体" w:hAnsi="宋体" w:cs="宋体"/>
                <w:szCs w:val="21"/>
              </w:rPr>
            </w:pPr>
            <w:r>
              <w:rPr>
                <w:rFonts w:hint="eastAsia" w:asciiTheme="minorEastAsia" w:hAnsiTheme="minorEastAsia" w:eastAsiaTheme="minorEastAsia" w:cstheme="minorEastAsia"/>
                <w:szCs w:val="21"/>
              </w:rPr>
              <w:t>结果：基本符合</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98" w:type="dxa"/>
          </w:tcPr>
          <w:p>
            <w:pPr>
              <w:spacing w:line="360" w:lineRule="auto"/>
              <w:rPr>
                <w:szCs w:val="21"/>
              </w:rPr>
            </w:pPr>
            <w:r>
              <w:rPr>
                <w:rFonts w:hint="eastAsia"/>
                <w:szCs w:val="21"/>
              </w:rPr>
              <w:t>Q6.2</w:t>
            </w:r>
          </w:p>
          <w:p>
            <w:pPr>
              <w:spacing w:line="360" w:lineRule="auto"/>
              <w:rPr>
                <w:szCs w:val="21"/>
              </w:rPr>
            </w:pPr>
            <w:r>
              <w:rPr>
                <w:rFonts w:hint="eastAsia"/>
                <w:szCs w:val="21"/>
              </w:rPr>
              <w:t>E6.2.1</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360" w:lineRule="auto"/>
              <w:ind w:firstLine="420" w:firstLineChars="200"/>
              <w:rPr>
                <w:rFonts w:ascii="宋体" w:hAnsi="宋体" w:cs="宋体"/>
                <w:szCs w:val="21"/>
              </w:rPr>
            </w:pPr>
            <w:r>
              <w:rPr>
                <w:rFonts w:hint="eastAsia" w:ascii="宋体" w:hAnsi="宋体" w:cs="宋体"/>
                <w:szCs w:val="21"/>
              </w:rPr>
              <w:t>综合办公室涉及的目标及实现情况是：</w:t>
            </w:r>
          </w:p>
          <w:p>
            <w:pPr>
              <w:pStyle w:val="4"/>
            </w:pPr>
            <w:r>
              <w:drawing>
                <wp:anchor distT="0" distB="0" distL="114300" distR="114300" simplePos="0" relativeHeight="251661312" behindDoc="0" locked="0" layoutInCell="1" allowOverlap="1">
                  <wp:simplePos x="0" y="0"/>
                  <wp:positionH relativeFrom="column">
                    <wp:posOffset>215900</wp:posOffset>
                  </wp:positionH>
                  <wp:positionV relativeFrom="paragraph">
                    <wp:posOffset>50165</wp:posOffset>
                  </wp:positionV>
                  <wp:extent cx="5694680" cy="1986915"/>
                  <wp:effectExtent l="0" t="0" r="7620" b="698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5694680" cy="1986915"/>
                          </a:xfrm>
                          <a:prstGeom prst="rect">
                            <a:avLst/>
                          </a:prstGeom>
                          <a:noFill/>
                          <a:ln>
                            <a:noFill/>
                          </a:ln>
                        </pic:spPr>
                      </pic:pic>
                    </a:graphicData>
                  </a:graphic>
                </wp:anchor>
              </w:drawing>
            </w: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目标可测量，与公司管理方针一致。有实施落实的方案，根据202</w:t>
            </w:r>
            <w:r>
              <w:rPr>
                <w:rFonts w:hint="eastAsia" w:ascii="宋体" w:hAnsi="宋体" w:cs="宋体"/>
                <w:szCs w:val="21"/>
                <w:lang w:val="en-US" w:eastAsia="zh-CN"/>
              </w:rPr>
              <w:t>2</w:t>
            </w:r>
            <w:r>
              <w:rPr>
                <w:rFonts w:hint="eastAsia" w:ascii="宋体" w:hAnsi="宋体" w:cs="宋体"/>
                <w:szCs w:val="21"/>
              </w:rPr>
              <w:t>年1月4日统计结果，目标均已完成。</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环境目标实现措施策划</w:t>
            </w:r>
          </w:p>
        </w:tc>
        <w:tc>
          <w:tcPr>
            <w:tcW w:w="998" w:type="dxa"/>
          </w:tcPr>
          <w:p>
            <w:pPr>
              <w:spacing w:line="360" w:lineRule="auto"/>
              <w:rPr>
                <w:szCs w:val="21"/>
              </w:rPr>
            </w:pPr>
            <w:r>
              <w:rPr>
                <w:rFonts w:hint="eastAsia"/>
                <w:szCs w:val="21"/>
              </w:rPr>
              <w:t>E6.2.2</w:t>
            </w:r>
          </w:p>
        </w:tc>
        <w:tc>
          <w:tcPr>
            <w:tcW w:w="10004" w:type="dxa"/>
            <w:vAlign w:val="center"/>
          </w:tcPr>
          <w:p>
            <w:pPr>
              <w:spacing w:line="360" w:lineRule="auto"/>
              <w:ind w:firstLine="420" w:firstLineChars="200"/>
              <w:rPr>
                <w:szCs w:val="22"/>
              </w:rPr>
            </w:pPr>
            <w:r>
              <w:rPr>
                <w:rFonts w:hint="eastAsia"/>
              </w:rPr>
              <w:t>按《环境因素识别和评价控制程序》识别的重要环境因素制定管理措施，制定《相关方控制程序》等文件；由综合办公室统一管理。基本不涉及重大法规要求的不可接受的</w:t>
            </w:r>
            <w:r>
              <w:rPr>
                <w:rFonts w:hint="eastAsia"/>
                <w:szCs w:val="22"/>
              </w:rPr>
              <w:t>环境和安全风险。</w:t>
            </w:r>
          </w:p>
          <w:p>
            <w:pPr>
              <w:spacing w:line="360" w:lineRule="auto"/>
              <w:rPr>
                <w:szCs w:val="22"/>
              </w:rPr>
            </w:pPr>
            <w:r>
              <w:rPr>
                <w:rFonts w:hint="eastAsia"/>
                <w:szCs w:val="22"/>
              </w:rPr>
              <w:t>查见环境目标管理方案有时间期限、具体措施、责任人。环境管理方案共计有2个，分别是1）固废排放；2）火灾；</w:t>
            </w:r>
          </w:p>
          <w:p>
            <w:pPr>
              <w:spacing w:line="360" w:lineRule="auto"/>
              <w:rPr>
                <w:szCs w:val="22"/>
              </w:rPr>
            </w:pPr>
            <w:r>
              <w:rPr>
                <w:rFonts w:hint="eastAsia"/>
                <w:szCs w:val="22"/>
              </w:rPr>
              <w:t>1、查见固体废弃物确定的管理方案：</w:t>
            </w:r>
          </w:p>
          <w:p>
            <w:pPr>
              <w:spacing w:line="360" w:lineRule="auto"/>
              <w:rPr>
                <w:szCs w:val="22"/>
              </w:rPr>
            </w:pPr>
            <w:r>
              <w:rPr>
                <w:rFonts w:hint="eastAsia"/>
                <w:szCs w:val="22"/>
              </w:rPr>
              <w:t>1)组织相关岗位人员培训学习并认真贯彻实施上述规定。</w:t>
            </w:r>
          </w:p>
          <w:p>
            <w:pPr>
              <w:spacing w:line="360" w:lineRule="auto"/>
              <w:rPr>
                <w:szCs w:val="22"/>
              </w:rPr>
            </w:pPr>
            <w:r>
              <w:rPr>
                <w:rFonts w:hint="eastAsia"/>
                <w:szCs w:val="22"/>
              </w:rPr>
              <w:t>2）实行垃圾分类处理，综合利用，对于边角料外售；</w:t>
            </w:r>
          </w:p>
          <w:p>
            <w:pPr>
              <w:spacing w:line="360" w:lineRule="auto"/>
              <w:rPr>
                <w:szCs w:val="22"/>
              </w:rPr>
            </w:pPr>
            <w:r>
              <w:rPr>
                <w:rFonts w:hint="eastAsia"/>
                <w:szCs w:val="22"/>
              </w:rPr>
              <w:t>3）办公固废由综合办公室统一收集，综合处理，办公废物供方回收。</w:t>
            </w:r>
          </w:p>
          <w:p>
            <w:pPr>
              <w:spacing w:line="360" w:lineRule="auto"/>
              <w:rPr>
                <w:szCs w:val="22"/>
              </w:rPr>
            </w:pPr>
            <w:r>
              <w:rPr>
                <w:rFonts w:hint="eastAsia"/>
                <w:szCs w:val="22"/>
              </w:rPr>
              <w:t>4）生活垃圾由环卫部门统一处理。</w:t>
            </w:r>
          </w:p>
          <w:p>
            <w:pPr>
              <w:spacing w:line="360" w:lineRule="auto"/>
              <w:rPr>
                <w:szCs w:val="22"/>
              </w:rPr>
            </w:pPr>
            <w:r>
              <w:rPr>
                <w:rFonts w:hint="eastAsia"/>
                <w:szCs w:val="22"/>
              </w:rPr>
              <w:t>........</w:t>
            </w:r>
          </w:p>
          <w:p>
            <w:pPr>
              <w:spacing w:line="360" w:lineRule="auto"/>
            </w:pPr>
            <w:r>
              <w:rPr>
                <w:rFonts w:hint="eastAsia"/>
                <w:szCs w:val="22"/>
              </w:rPr>
              <w:t>方案针对目标及指标提出了管理措施，方案中有具体的实施时间及经费，有相应的实施主体。</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highlight w:val="yellow"/>
              </w:rPr>
            </w:pPr>
            <w:r>
              <w:rPr>
                <w:rFonts w:hint="eastAsia" w:ascii="宋体" w:hAnsi="宋体" w:cs="宋体"/>
                <w:color w:val="000000"/>
                <w:kern w:val="0"/>
                <w:szCs w:val="21"/>
                <w:highlight w:val="yellow"/>
              </w:rPr>
              <w:t>人员</w:t>
            </w:r>
          </w:p>
          <w:p>
            <w:pPr>
              <w:spacing w:line="360" w:lineRule="auto"/>
              <w:rPr>
                <w:b/>
                <w:szCs w:val="21"/>
                <w:highlight w:val="yellow"/>
              </w:rPr>
            </w:pPr>
          </w:p>
        </w:tc>
        <w:tc>
          <w:tcPr>
            <w:tcW w:w="998" w:type="dxa"/>
          </w:tcPr>
          <w:p>
            <w:pPr>
              <w:spacing w:line="360" w:lineRule="auto"/>
              <w:rPr>
                <w:rFonts w:ascii="宋体" w:hAnsi="宋体" w:cs="宋体"/>
                <w:color w:val="000000"/>
                <w:kern w:val="0"/>
                <w:szCs w:val="21"/>
                <w:highlight w:val="yellow"/>
              </w:rPr>
            </w:pPr>
            <w:r>
              <w:rPr>
                <w:rFonts w:hint="eastAsia" w:ascii="宋体" w:hAnsi="宋体" w:cs="宋体"/>
                <w:color w:val="000000"/>
                <w:kern w:val="0"/>
                <w:szCs w:val="21"/>
                <w:highlight w:val="yellow"/>
              </w:rPr>
              <w:t>Q7.1.2</w:t>
            </w:r>
          </w:p>
          <w:p>
            <w:pPr>
              <w:spacing w:line="360" w:lineRule="auto"/>
              <w:rPr>
                <w:b/>
                <w:szCs w:val="21"/>
                <w:highlight w:val="yellow"/>
              </w:rPr>
            </w:pPr>
          </w:p>
        </w:tc>
        <w:tc>
          <w:tcPr>
            <w:tcW w:w="10004" w:type="dxa"/>
            <w:vAlign w:val="center"/>
          </w:tcPr>
          <w:p>
            <w:pPr>
              <w:spacing w:line="360" w:lineRule="auto"/>
              <w:ind w:firstLine="525" w:firstLineChars="250"/>
            </w:pPr>
            <w:r>
              <w:rPr>
                <w:rFonts w:hint="eastAsia"/>
              </w:rPr>
              <w:t>综合办公室根据各部门的需要配备管理体系运行所需的人员，任命：赵洁、张妮2名内审员。均经过了相关培训，有公司任命证书。</w:t>
            </w:r>
          </w:p>
          <w:p>
            <w:pPr>
              <w:spacing w:line="360" w:lineRule="auto"/>
              <w:ind w:firstLine="525" w:firstLineChars="250"/>
            </w:pPr>
            <w:r>
              <w:rPr>
                <w:rFonts w:hint="eastAsia"/>
              </w:rPr>
              <w:t>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spacing w:line="360" w:lineRule="auto"/>
              <w:ind w:firstLine="525" w:firstLineChars="250"/>
            </w:pPr>
            <w:r>
              <w:rPr>
                <w:rFonts w:hint="eastAsia"/>
              </w:rPr>
              <w:t>提供有员工花名册，目前公司共有员工25人，各部门人员配备基本充分，符合要求。</w:t>
            </w:r>
          </w:p>
          <w:p>
            <w:pPr>
              <w:pStyle w:val="4"/>
              <w:ind w:firstLine="315" w:firstLineChars="150"/>
              <w:rPr>
                <w:rFonts w:hint="eastAsia"/>
                <w:sz w:val="21"/>
                <w:szCs w:val="22"/>
              </w:rPr>
            </w:pPr>
            <w:r>
              <w:rPr>
                <w:rFonts w:hint="eastAsia"/>
                <w:sz w:val="21"/>
                <w:szCs w:val="22"/>
              </w:rPr>
              <w:t>抽查公司：</w:t>
            </w:r>
          </w:p>
          <w:p>
            <w:pPr>
              <w:pStyle w:val="4"/>
              <w:ind w:left="315" w:leftChars="150"/>
              <w:rPr>
                <w:sz w:val="21"/>
                <w:szCs w:val="22"/>
              </w:rPr>
            </w:pPr>
            <w:r>
              <w:rPr>
                <w:rFonts w:hint="eastAsia"/>
                <w:sz w:val="21"/>
                <w:szCs w:val="22"/>
              </w:rPr>
              <w:t>计量部：计量部负责人：胡民安   资格名称：计量检定专业高级工程师职称证    2008年8月28日批准，号码为：陕人职字【2008】351号。</w:t>
            </w:r>
          </w:p>
          <w:p>
            <w:pPr>
              <w:pStyle w:val="4"/>
              <w:ind w:firstLine="210" w:firstLineChars="100"/>
              <w:rPr>
                <w:sz w:val="21"/>
                <w:szCs w:val="22"/>
              </w:rPr>
            </w:pPr>
            <w:r>
              <w:rPr>
                <w:rFonts w:hint="eastAsia"/>
                <w:sz w:val="21"/>
                <w:szCs w:val="22"/>
              </w:rPr>
              <w:t>计量部 ：史艳维，一级注册计量师，管理号：20210607061000000067  批准日期：2021年6月21日。</w:t>
            </w:r>
          </w:p>
          <w:p>
            <w:pPr>
              <w:pStyle w:val="4"/>
              <w:ind w:firstLine="210" w:firstLineChars="100"/>
              <w:rPr>
                <w:sz w:val="21"/>
                <w:szCs w:val="22"/>
              </w:rPr>
            </w:pPr>
            <w:r>
              <w:rPr>
                <w:rFonts w:hint="eastAsia"/>
                <w:sz w:val="21"/>
                <w:szCs w:val="22"/>
              </w:rPr>
              <w:t>计量部：刘莎，一级注册计量师，管理号：201806070610000035 批准日期：2018年6月24日。</w:t>
            </w:r>
          </w:p>
          <w:p>
            <w:pPr>
              <w:pStyle w:val="4"/>
              <w:ind w:firstLine="525" w:firstLineChars="250"/>
              <w:rPr>
                <w:sz w:val="21"/>
                <w:szCs w:val="22"/>
              </w:rPr>
            </w:pPr>
          </w:p>
          <w:p>
            <w:pPr>
              <w:pStyle w:val="4"/>
              <w:rPr>
                <w:sz w:val="21"/>
                <w:szCs w:val="22"/>
              </w:rPr>
            </w:pPr>
            <w:r>
              <w:rPr>
                <w:rFonts w:hint="eastAsia"/>
                <w:sz w:val="21"/>
                <w:szCs w:val="22"/>
              </w:rPr>
              <w:drawing>
                <wp:anchor distT="0" distB="0" distL="114300" distR="114300" simplePos="0" relativeHeight="251663360" behindDoc="0" locked="0" layoutInCell="1" allowOverlap="1">
                  <wp:simplePos x="0" y="0"/>
                  <wp:positionH relativeFrom="column">
                    <wp:posOffset>3144520</wp:posOffset>
                  </wp:positionH>
                  <wp:positionV relativeFrom="paragraph">
                    <wp:posOffset>45085</wp:posOffset>
                  </wp:positionV>
                  <wp:extent cx="2466975" cy="1562100"/>
                  <wp:effectExtent l="19050" t="0" r="9525" b="0"/>
                  <wp:wrapSquare wrapText="bothSides"/>
                  <wp:docPr id="20" name="图片 1" descr="C:\Users\Administrator\Desktop\微信图片_2022032823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C:\Users\Administrator\Desktop\微信图片_20220328230332.jpg"/>
                          <pic:cNvPicPr>
                            <a:picLocks noChangeAspect="1" noChangeArrowheads="1"/>
                          </pic:cNvPicPr>
                        </pic:nvPicPr>
                        <pic:blipFill>
                          <a:blip r:embed="rId7" cstate="print"/>
                          <a:srcRect/>
                          <a:stretch>
                            <a:fillRect/>
                          </a:stretch>
                        </pic:blipFill>
                        <pic:spPr>
                          <a:xfrm>
                            <a:off x="0" y="0"/>
                            <a:ext cx="2466975" cy="1562100"/>
                          </a:xfrm>
                          <a:prstGeom prst="rect">
                            <a:avLst/>
                          </a:prstGeom>
                          <a:noFill/>
                          <a:ln w="9525">
                            <a:noFill/>
                            <a:miter lim="800000"/>
                            <a:headEnd/>
                            <a:tailEnd/>
                          </a:ln>
                        </pic:spPr>
                      </pic:pic>
                    </a:graphicData>
                  </a:graphic>
                </wp:anchor>
              </w:drawing>
            </w:r>
            <w:r>
              <w:rPr>
                <w:rFonts w:hint="eastAsia"/>
                <w:sz w:val="21"/>
                <w:szCs w:val="22"/>
              </w:rPr>
              <w:drawing>
                <wp:anchor distT="0" distB="0" distL="114300" distR="114300" simplePos="0" relativeHeight="251662336" behindDoc="0" locked="0" layoutInCell="1" allowOverlap="1">
                  <wp:simplePos x="0" y="0"/>
                  <wp:positionH relativeFrom="column">
                    <wp:posOffset>77470</wp:posOffset>
                  </wp:positionH>
                  <wp:positionV relativeFrom="paragraph">
                    <wp:posOffset>6985</wp:posOffset>
                  </wp:positionV>
                  <wp:extent cx="2790825" cy="1600200"/>
                  <wp:effectExtent l="1905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2790825" cy="1600200"/>
                          </a:xfrm>
                          <a:prstGeom prst="rect">
                            <a:avLst/>
                          </a:prstGeom>
                          <a:noFill/>
                          <a:ln>
                            <a:noFill/>
                          </a:ln>
                        </pic:spPr>
                      </pic:pic>
                    </a:graphicData>
                  </a:graphic>
                </wp:anchor>
              </w:drawing>
            </w:r>
          </w:p>
          <w:p>
            <w:pPr>
              <w:pStyle w:val="4"/>
              <w:rPr>
                <w:sz w:val="21"/>
                <w:szCs w:val="22"/>
              </w:rPr>
            </w:pPr>
          </w:p>
          <w:p>
            <w:pPr>
              <w:pStyle w:val="4"/>
              <w:rPr>
                <w:sz w:val="21"/>
                <w:szCs w:val="22"/>
              </w:rPr>
            </w:pPr>
          </w:p>
          <w:p>
            <w:pPr>
              <w:pStyle w:val="4"/>
              <w:rPr>
                <w:sz w:val="21"/>
                <w:szCs w:val="22"/>
              </w:rPr>
            </w:pPr>
          </w:p>
          <w:p>
            <w:pPr>
              <w:pStyle w:val="4"/>
              <w:rPr>
                <w:sz w:val="21"/>
                <w:szCs w:val="22"/>
              </w:rPr>
            </w:pPr>
          </w:p>
          <w:p>
            <w:pPr>
              <w:pStyle w:val="4"/>
              <w:rPr>
                <w:sz w:val="21"/>
                <w:szCs w:val="22"/>
              </w:rPr>
            </w:pPr>
          </w:p>
          <w:p>
            <w:pPr>
              <w:pStyle w:val="4"/>
              <w:rPr>
                <w:sz w:val="21"/>
                <w:szCs w:val="22"/>
              </w:rPr>
            </w:pPr>
          </w:p>
          <w:p>
            <w:pPr>
              <w:pStyle w:val="4"/>
              <w:rPr>
                <w:sz w:val="21"/>
                <w:szCs w:val="22"/>
              </w:rPr>
            </w:pPr>
          </w:p>
          <w:p>
            <w:pPr>
              <w:pStyle w:val="4"/>
              <w:rPr>
                <w:sz w:val="21"/>
                <w:szCs w:val="22"/>
              </w:rPr>
            </w:pPr>
          </w:p>
          <w:p>
            <w:pPr>
              <w:pStyle w:val="4"/>
              <w:rPr>
                <w:sz w:val="21"/>
                <w:szCs w:val="22"/>
              </w:rPr>
            </w:pPr>
          </w:p>
          <w:p>
            <w:pPr>
              <w:pStyle w:val="4"/>
              <w:rPr>
                <w:sz w:val="21"/>
                <w:szCs w:val="22"/>
              </w:rPr>
            </w:pPr>
          </w:p>
          <w:p>
            <w:pPr>
              <w:pStyle w:val="4"/>
              <w:rPr>
                <w:sz w:val="21"/>
                <w:szCs w:val="22"/>
              </w:rPr>
            </w:pPr>
          </w:p>
          <w:p>
            <w:pPr>
              <w:pStyle w:val="4"/>
              <w:rPr>
                <w:sz w:val="21"/>
                <w:szCs w:val="22"/>
              </w:rPr>
            </w:pPr>
            <w:r>
              <w:rPr>
                <w:rFonts w:hint="eastAsia"/>
                <w:sz w:val="21"/>
                <w:szCs w:val="22"/>
              </w:rPr>
              <w:drawing>
                <wp:anchor distT="0" distB="0" distL="114300" distR="114300" simplePos="0" relativeHeight="251664384" behindDoc="0" locked="0" layoutInCell="1" allowOverlap="1">
                  <wp:simplePos x="0" y="0"/>
                  <wp:positionH relativeFrom="column">
                    <wp:posOffset>296545</wp:posOffset>
                  </wp:positionH>
                  <wp:positionV relativeFrom="paragraph">
                    <wp:posOffset>-1374140</wp:posOffset>
                  </wp:positionV>
                  <wp:extent cx="1914525" cy="1676400"/>
                  <wp:effectExtent l="19050" t="0" r="9525" b="0"/>
                  <wp:wrapSquare wrapText="bothSides"/>
                  <wp:docPr id="23" name="图片 3" descr="C:\Users\Administrator\Desktop\微信图片_2022032823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C:\Users\Administrator\Desktop\微信图片_20220328230314.jpg"/>
                          <pic:cNvPicPr>
                            <a:picLocks noChangeAspect="1" noChangeArrowheads="1"/>
                          </pic:cNvPicPr>
                        </pic:nvPicPr>
                        <pic:blipFill>
                          <a:blip r:embed="rId9" cstate="print"/>
                          <a:srcRect/>
                          <a:stretch>
                            <a:fillRect/>
                          </a:stretch>
                        </pic:blipFill>
                        <pic:spPr>
                          <a:xfrm>
                            <a:off x="0" y="0"/>
                            <a:ext cx="1914525" cy="1676400"/>
                          </a:xfrm>
                          <a:prstGeom prst="rect">
                            <a:avLst/>
                          </a:prstGeom>
                          <a:noFill/>
                          <a:ln w="9525">
                            <a:noFill/>
                            <a:miter lim="800000"/>
                            <a:headEnd/>
                            <a:tailEnd/>
                          </a:ln>
                        </pic:spPr>
                      </pic:pic>
                    </a:graphicData>
                  </a:graphic>
                </wp:anchor>
              </w:drawing>
            </w:r>
          </w:p>
          <w:p>
            <w:pPr>
              <w:pStyle w:val="4"/>
              <w:rPr>
                <w:sz w:val="21"/>
                <w:szCs w:val="22"/>
              </w:rPr>
            </w:pPr>
          </w:p>
          <w:p>
            <w:pPr>
              <w:pStyle w:val="4"/>
              <w:rPr>
                <w:sz w:val="21"/>
                <w:szCs w:val="22"/>
              </w:rPr>
            </w:pPr>
            <w:r>
              <w:rPr>
                <w:rFonts w:hint="eastAsia" w:ascii="宋体" w:hAnsi="宋体" w:cs="宋体"/>
                <w:szCs w:val="21"/>
              </w:rPr>
              <w:t>各岗位配备了适宜人员，每年进行培训和学习，目前均有胜任本岗位工作的能力。</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组织的知识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Q7.1.6</w:t>
            </w:r>
          </w:p>
          <w:p>
            <w:pPr>
              <w:spacing w:line="360" w:lineRule="auto"/>
              <w:rPr>
                <w:b/>
                <w:szCs w:val="21"/>
              </w:rPr>
            </w:pP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信息（管理手册、程序文件、管理制度等）、专业技术知识等；外部来源包括：外来资料（如供应商、用户和竞争对手等利益相关者的动向报告、专家、顾客意见的采集、技术动态的跟踪）、市场信息等。</w:t>
            </w:r>
          </w:p>
          <w:p>
            <w:pPr>
              <w:spacing w:line="360" w:lineRule="auto"/>
              <w:ind w:firstLine="420" w:firstLineChars="200"/>
              <w:rPr>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能力</w:t>
            </w:r>
          </w:p>
          <w:p>
            <w:pPr>
              <w:spacing w:line="360" w:lineRule="auto"/>
              <w:rPr>
                <w:b/>
                <w:szCs w:val="21"/>
                <w:highlight w:val="none"/>
              </w:rPr>
            </w:pPr>
          </w:p>
        </w:tc>
        <w:tc>
          <w:tcPr>
            <w:tcW w:w="998" w:type="dxa"/>
          </w:tcPr>
          <w:p>
            <w:pPr>
              <w:spacing w:line="360" w:lineRule="auto"/>
              <w:rPr>
                <w:b/>
                <w:szCs w:val="21"/>
                <w:highlight w:val="none"/>
              </w:rPr>
            </w:pPr>
            <w:r>
              <w:rPr>
                <w:rFonts w:hint="eastAsia" w:ascii="宋体" w:hAnsi="宋体" w:cs="宋体"/>
                <w:color w:val="000000"/>
                <w:kern w:val="0"/>
                <w:szCs w:val="21"/>
                <w:highlight w:val="none"/>
              </w:rPr>
              <w:t>QE7.2</w:t>
            </w:r>
          </w:p>
        </w:tc>
        <w:tc>
          <w:tcPr>
            <w:tcW w:w="10004" w:type="dxa"/>
            <w:vAlign w:val="center"/>
          </w:tcPr>
          <w:p>
            <w:pPr>
              <w:spacing w:line="360" w:lineRule="auto"/>
              <w:ind w:firstLine="210" w:firstLineChars="100"/>
              <w:rPr>
                <w:rFonts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查有：人员能力要求资格确认表，公司经识别，检定、校准过程为关键过程，对人员岗位人员能力进行了资格确认，均有评审结果，基本符合要求。</w:t>
            </w:r>
          </w:p>
          <w:p>
            <w:pPr>
              <w:spacing w:line="360" w:lineRule="auto"/>
              <w:rPr>
                <w:rFonts w:ascii="宋体" w:hAnsi="宋体" w:cs="宋体"/>
                <w:color w:val="000000"/>
                <w:kern w:val="0"/>
                <w:szCs w:val="21"/>
              </w:rPr>
            </w:pPr>
            <w:r>
              <w:rPr>
                <w:rFonts w:hint="eastAsia" w:ascii="宋体" w:hAnsi="宋体" w:cs="宋体"/>
                <w:color w:val="000000"/>
                <w:kern w:val="0"/>
                <w:szCs w:val="21"/>
              </w:rPr>
              <w:t>查看“20</w:t>
            </w:r>
            <w:r>
              <w:rPr>
                <w:rFonts w:ascii="宋体" w:hAnsi="宋体" w:cs="宋体"/>
                <w:color w:val="000000"/>
                <w:kern w:val="0"/>
                <w:szCs w:val="21"/>
              </w:rPr>
              <w:t>2</w:t>
            </w:r>
            <w:r>
              <w:rPr>
                <w:rFonts w:hint="eastAsia" w:ascii="宋体" w:hAnsi="宋体" w:cs="宋体"/>
                <w:color w:val="000000"/>
                <w:kern w:val="0"/>
                <w:szCs w:val="21"/>
              </w:rPr>
              <w:t>1年培训计划表”，内容包括质量、环境、安全基础知识培训。列入了培训计划内容如：管理评审知识、管理体系文件培训、安全知识等。查有：培训记录/评价表记录等。</w:t>
            </w:r>
          </w:p>
          <w:p>
            <w:pPr>
              <w:spacing w:line="360" w:lineRule="auto"/>
              <w:rPr>
                <w:rFonts w:ascii="宋体" w:hAnsi="宋体" w:cs="宋体"/>
                <w:color w:val="000000"/>
                <w:kern w:val="0"/>
                <w:szCs w:val="21"/>
              </w:rPr>
            </w:pPr>
            <w:r>
              <w:rPr>
                <w:rFonts w:hint="eastAsia" w:ascii="宋体" w:hAnsi="宋体" w:cs="宋体"/>
                <w:color w:val="000000"/>
                <w:kern w:val="0"/>
                <w:szCs w:val="21"/>
              </w:rPr>
              <w:t>抽查《培训记录/评价表》：</w:t>
            </w:r>
          </w:p>
          <w:p>
            <w:pPr>
              <w:spacing w:line="360" w:lineRule="auto"/>
              <w:rPr>
                <w:rFonts w:ascii="宋体" w:hAnsi="宋体" w:cs="宋体"/>
                <w:color w:val="000000"/>
                <w:kern w:val="0"/>
                <w:szCs w:val="21"/>
              </w:rPr>
            </w:pPr>
            <w:r>
              <w:rPr>
                <w:rFonts w:hint="eastAsia" w:ascii="宋体" w:hAnsi="宋体" w:cs="宋体"/>
                <w:color w:val="000000"/>
                <w:kern w:val="0"/>
                <w:szCs w:val="21"/>
              </w:rPr>
              <w:t>2021年培训共：10项，已完成10项。</w:t>
            </w:r>
          </w:p>
          <w:p>
            <w:pPr>
              <w:spacing w:line="360" w:lineRule="auto"/>
              <w:rPr>
                <w:rFonts w:ascii="宋体" w:hAnsi="宋体" w:cs="宋体"/>
                <w:color w:val="000000"/>
                <w:kern w:val="0"/>
                <w:szCs w:val="21"/>
              </w:rPr>
            </w:pPr>
            <w:r>
              <w:rPr>
                <w:rFonts w:hint="eastAsia" w:ascii="宋体" w:hAnsi="宋体" w:cs="宋体"/>
                <w:color w:val="000000"/>
                <w:kern w:val="0"/>
                <w:szCs w:val="21"/>
              </w:rPr>
              <w:t>1、2021年4月8日：JJF1033-2016《计量标准考核规范》宣贯</w:t>
            </w:r>
          </w:p>
          <w:p>
            <w:pPr>
              <w:spacing w:line="360" w:lineRule="auto"/>
              <w:ind w:firstLine="210" w:firstLineChars="100"/>
              <w:rPr>
                <w:rFonts w:ascii="宋体" w:hAnsi="宋体" w:cs="宋体"/>
                <w:color w:val="000000"/>
                <w:kern w:val="0"/>
                <w:szCs w:val="21"/>
              </w:rPr>
            </w:pPr>
            <w:r>
              <w:rPr>
                <w:rFonts w:hint="eastAsia" w:ascii="宋体" w:hAnsi="宋体" w:cs="宋体"/>
                <w:color w:val="000000"/>
                <w:kern w:val="0"/>
                <w:szCs w:val="21"/>
              </w:rPr>
              <w:t>培训老师：胡老师</w:t>
            </w:r>
          </w:p>
          <w:p>
            <w:pPr>
              <w:spacing w:line="360" w:lineRule="auto"/>
              <w:ind w:firstLine="210" w:firstLineChars="100"/>
              <w:rPr>
                <w:rFonts w:ascii="宋体" w:hAnsi="宋体" w:cs="宋体"/>
                <w:color w:val="000000"/>
                <w:kern w:val="0"/>
                <w:szCs w:val="21"/>
              </w:rPr>
            </w:pPr>
            <w:r>
              <w:rPr>
                <w:rFonts w:hint="eastAsia" w:ascii="宋体" w:hAnsi="宋体" w:cs="宋体"/>
                <w:color w:val="000000"/>
                <w:kern w:val="0"/>
                <w:szCs w:val="21"/>
              </w:rPr>
              <w:t>参加人员：公司全体人员</w:t>
            </w:r>
          </w:p>
          <w:p>
            <w:pPr>
              <w:spacing w:line="360" w:lineRule="auto"/>
              <w:rPr>
                <w:rFonts w:ascii="宋体" w:hAnsi="宋体" w:cs="宋体"/>
                <w:color w:val="000000"/>
                <w:kern w:val="0"/>
                <w:szCs w:val="21"/>
              </w:rPr>
            </w:pPr>
            <w:r>
              <w:rPr>
                <w:rFonts w:hint="eastAsia" w:ascii="宋体" w:hAnsi="宋体" w:cs="宋体"/>
                <w:color w:val="000000"/>
                <w:kern w:val="0"/>
                <w:szCs w:val="21"/>
              </w:rPr>
              <w:t xml:space="preserve">  培训目的：帮助本单位的员工全面理解和掌握JJF1033-2016计量标准考核规范条款要求的原则与基础、架构与要点以及实施的主要方法。</w:t>
            </w:r>
          </w:p>
          <w:p>
            <w:pPr>
              <w:spacing w:line="360" w:lineRule="auto"/>
              <w:rPr>
                <w:rFonts w:ascii="宋体" w:hAnsi="宋体" w:cs="宋体"/>
                <w:color w:val="000000"/>
                <w:kern w:val="0"/>
                <w:szCs w:val="21"/>
              </w:rPr>
            </w:pPr>
            <w:r>
              <w:rPr>
                <w:rFonts w:hint="eastAsia" w:ascii="宋体" w:hAnsi="宋体" w:cs="宋体"/>
                <w:color w:val="000000"/>
                <w:kern w:val="0"/>
                <w:szCs w:val="21"/>
              </w:rPr>
              <w:t>考核方式：通过口头提问对理解情况进行考核</w:t>
            </w:r>
          </w:p>
          <w:p>
            <w:pPr>
              <w:spacing w:line="360" w:lineRule="auto"/>
              <w:rPr>
                <w:rFonts w:ascii="宋体" w:hAnsi="宋体" w:cs="宋体"/>
                <w:color w:val="000000"/>
                <w:kern w:val="0"/>
                <w:szCs w:val="21"/>
              </w:rPr>
            </w:pPr>
            <w:r>
              <w:rPr>
                <w:rFonts w:hint="eastAsia" w:ascii="宋体" w:hAnsi="宋体" w:cs="宋体"/>
                <w:color w:val="000000"/>
                <w:kern w:val="0"/>
                <w:szCs w:val="21"/>
              </w:rPr>
              <w:t>有效性评价结果：达到培训目的，效果良好，全部通过。验证人：赵洁。</w:t>
            </w:r>
          </w:p>
          <w:p>
            <w:pPr>
              <w:spacing w:line="360" w:lineRule="auto"/>
              <w:rPr>
                <w:rFonts w:ascii="宋体" w:hAnsi="宋体" w:cs="宋体"/>
                <w:color w:val="000000"/>
                <w:kern w:val="0"/>
                <w:szCs w:val="21"/>
              </w:rPr>
            </w:pPr>
            <w:r>
              <w:rPr>
                <w:rFonts w:hint="eastAsia" w:ascii="宋体" w:hAnsi="宋体" w:cs="宋体"/>
                <w:color w:val="000000"/>
                <w:kern w:val="0"/>
                <w:szCs w:val="21"/>
              </w:rPr>
              <w:t>2、20</w:t>
            </w:r>
            <w:r>
              <w:rPr>
                <w:rFonts w:ascii="宋体" w:hAnsi="宋体" w:cs="宋体"/>
                <w:color w:val="000000"/>
                <w:kern w:val="0"/>
                <w:szCs w:val="21"/>
              </w:rPr>
              <w:t>2</w:t>
            </w:r>
            <w:r>
              <w:rPr>
                <w:rFonts w:hint="eastAsia" w:ascii="宋体" w:hAnsi="宋体" w:cs="宋体"/>
                <w:color w:val="000000"/>
                <w:kern w:val="0"/>
                <w:szCs w:val="21"/>
              </w:rPr>
              <w:t>1年5月10日：公司体系文件培训</w:t>
            </w:r>
          </w:p>
          <w:p>
            <w:pPr>
              <w:spacing w:line="360" w:lineRule="auto"/>
              <w:ind w:firstLine="210" w:firstLineChars="100"/>
              <w:rPr>
                <w:rFonts w:ascii="宋体" w:hAnsi="宋体" w:cs="宋体"/>
                <w:color w:val="000000"/>
                <w:kern w:val="0"/>
                <w:szCs w:val="21"/>
              </w:rPr>
            </w:pPr>
            <w:r>
              <w:rPr>
                <w:rFonts w:hint="eastAsia" w:ascii="宋体" w:hAnsi="宋体" w:cs="宋体"/>
                <w:color w:val="000000"/>
                <w:kern w:val="0"/>
                <w:szCs w:val="21"/>
              </w:rPr>
              <w:t>培训老师：胡老师</w:t>
            </w:r>
          </w:p>
          <w:p>
            <w:pPr>
              <w:spacing w:line="360" w:lineRule="auto"/>
              <w:ind w:firstLine="210" w:firstLineChars="100"/>
              <w:rPr>
                <w:rFonts w:ascii="宋体" w:hAnsi="宋体" w:cs="宋体"/>
                <w:color w:val="000000"/>
                <w:kern w:val="0"/>
                <w:szCs w:val="21"/>
              </w:rPr>
            </w:pPr>
            <w:r>
              <w:rPr>
                <w:rFonts w:hint="eastAsia" w:ascii="宋体" w:hAnsi="宋体" w:cs="宋体"/>
                <w:color w:val="000000"/>
                <w:kern w:val="0"/>
                <w:szCs w:val="21"/>
              </w:rPr>
              <w:t>参加人：公司全体人员</w:t>
            </w:r>
          </w:p>
          <w:p>
            <w:pPr>
              <w:spacing w:line="360" w:lineRule="auto"/>
              <w:rPr>
                <w:rFonts w:ascii="宋体" w:hAnsi="宋体" w:cs="宋体"/>
                <w:color w:val="000000"/>
                <w:kern w:val="0"/>
                <w:szCs w:val="21"/>
              </w:rPr>
            </w:pPr>
            <w:r>
              <w:rPr>
                <w:rFonts w:hint="eastAsia" w:ascii="宋体" w:hAnsi="宋体" w:cs="宋体"/>
                <w:color w:val="000000"/>
                <w:kern w:val="0"/>
                <w:szCs w:val="21"/>
              </w:rPr>
              <w:t>培训目的：使本单位的员工全面地理解和执行本公司体系文件的要求。</w:t>
            </w:r>
          </w:p>
          <w:p>
            <w:pPr>
              <w:spacing w:line="360" w:lineRule="auto"/>
              <w:rPr>
                <w:rFonts w:ascii="宋体" w:hAnsi="宋体" w:cs="宋体"/>
                <w:color w:val="000000"/>
                <w:kern w:val="0"/>
                <w:szCs w:val="21"/>
              </w:rPr>
            </w:pPr>
            <w:r>
              <w:rPr>
                <w:rFonts w:hint="eastAsia" w:ascii="宋体" w:hAnsi="宋体" w:cs="宋体"/>
                <w:color w:val="000000"/>
                <w:kern w:val="0"/>
                <w:szCs w:val="21"/>
              </w:rPr>
              <w:t>考核方式 ：通过口头提问对理解情况进行考核</w:t>
            </w:r>
          </w:p>
          <w:p>
            <w:pPr>
              <w:spacing w:line="360" w:lineRule="auto"/>
              <w:rPr>
                <w:rFonts w:ascii="宋体" w:hAnsi="宋体" w:cs="宋体"/>
                <w:color w:val="000000"/>
                <w:kern w:val="0"/>
                <w:szCs w:val="21"/>
              </w:rPr>
            </w:pPr>
            <w:r>
              <w:rPr>
                <w:rFonts w:hint="eastAsia" w:ascii="宋体" w:hAnsi="宋体" w:cs="宋体"/>
                <w:color w:val="000000"/>
                <w:kern w:val="0"/>
                <w:szCs w:val="21"/>
              </w:rPr>
              <w:t>有效性评价结果：达到培训目的，效果良好，全部通过。验证人：赵洁。</w:t>
            </w:r>
          </w:p>
          <w:p>
            <w:pPr>
              <w:spacing w:line="360" w:lineRule="auto"/>
              <w:rPr>
                <w:rFonts w:ascii="宋体" w:hAnsi="宋体" w:cs="宋体"/>
                <w:color w:val="000000"/>
                <w:kern w:val="0"/>
                <w:szCs w:val="21"/>
              </w:rPr>
            </w:pPr>
            <w:r>
              <w:rPr>
                <w:rFonts w:hint="eastAsia" w:ascii="宋体" w:hAnsi="宋体" w:cs="宋体"/>
                <w:color w:val="000000"/>
                <w:kern w:val="0"/>
                <w:szCs w:val="21"/>
              </w:rPr>
              <w:t>3、20</w:t>
            </w:r>
            <w:r>
              <w:rPr>
                <w:rFonts w:ascii="宋体" w:hAnsi="宋体" w:cs="宋体"/>
                <w:color w:val="000000"/>
                <w:kern w:val="0"/>
                <w:szCs w:val="21"/>
              </w:rPr>
              <w:t>2</w:t>
            </w:r>
            <w:r>
              <w:rPr>
                <w:rFonts w:hint="eastAsia" w:ascii="宋体" w:hAnsi="宋体" w:cs="宋体"/>
                <w:color w:val="000000"/>
                <w:kern w:val="0"/>
                <w:szCs w:val="21"/>
              </w:rPr>
              <w:t>1年6月2日：JJF1059.1-2012《测量不确定评定与表示》</w:t>
            </w:r>
          </w:p>
          <w:p>
            <w:pPr>
              <w:spacing w:line="360" w:lineRule="auto"/>
              <w:ind w:firstLine="210" w:firstLineChars="100"/>
              <w:rPr>
                <w:rFonts w:ascii="宋体" w:hAnsi="宋体" w:cs="宋体"/>
                <w:color w:val="000000"/>
                <w:kern w:val="0"/>
                <w:szCs w:val="21"/>
              </w:rPr>
            </w:pPr>
            <w:r>
              <w:rPr>
                <w:rFonts w:hint="eastAsia" w:ascii="宋体" w:hAnsi="宋体" w:cs="宋体"/>
                <w:color w:val="000000"/>
                <w:kern w:val="0"/>
                <w:szCs w:val="21"/>
              </w:rPr>
              <w:t>培训老师：胡老师</w:t>
            </w:r>
          </w:p>
          <w:p>
            <w:pPr>
              <w:spacing w:line="360" w:lineRule="auto"/>
              <w:ind w:firstLine="210" w:firstLineChars="100"/>
              <w:rPr>
                <w:rFonts w:ascii="宋体" w:hAnsi="宋体" w:cs="宋体"/>
                <w:color w:val="000000"/>
                <w:kern w:val="0"/>
                <w:szCs w:val="21"/>
              </w:rPr>
            </w:pPr>
            <w:r>
              <w:rPr>
                <w:rFonts w:hint="eastAsia" w:ascii="宋体" w:hAnsi="宋体" w:cs="宋体"/>
                <w:color w:val="000000"/>
                <w:kern w:val="0"/>
                <w:szCs w:val="21"/>
              </w:rPr>
              <w:t>参加人：公司全体人员</w:t>
            </w:r>
          </w:p>
          <w:p>
            <w:pPr>
              <w:spacing w:line="360" w:lineRule="auto"/>
              <w:rPr>
                <w:rFonts w:ascii="宋体" w:hAnsi="宋体" w:cs="宋体"/>
                <w:color w:val="000000"/>
                <w:kern w:val="0"/>
                <w:szCs w:val="21"/>
              </w:rPr>
            </w:pPr>
            <w:r>
              <w:rPr>
                <w:rFonts w:hint="eastAsia" w:ascii="宋体" w:hAnsi="宋体" w:cs="宋体"/>
                <w:color w:val="000000"/>
                <w:kern w:val="0"/>
                <w:szCs w:val="21"/>
              </w:rPr>
              <w:t>培训目的：使本单位的员工全面地理解和掌握JJF1059.1-2012《测量不确定评定与表示》，正确地进行测量不确定评定。</w:t>
            </w:r>
          </w:p>
          <w:p>
            <w:pPr>
              <w:spacing w:line="360" w:lineRule="auto"/>
              <w:rPr>
                <w:rFonts w:ascii="宋体" w:hAnsi="宋体" w:cs="宋体"/>
                <w:color w:val="000000"/>
                <w:kern w:val="0"/>
                <w:szCs w:val="21"/>
              </w:rPr>
            </w:pPr>
            <w:r>
              <w:rPr>
                <w:rFonts w:hint="eastAsia" w:ascii="宋体" w:hAnsi="宋体" w:cs="宋体"/>
                <w:color w:val="000000"/>
                <w:kern w:val="0"/>
                <w:szCs w:val="21"/>
              </w:rPr>
              <w:t>考核方式 ：通过口头提问对理解情况进行考核</w:t>
            </w:r>
          </w:p>
          <w:p>
            <w:pPr>
              <w:spacing w:line="360" w:lineRule="auto"/>
              <w:rPr>
                <w:rFonts w:ascii="宋体" w:hAnsi="宋体" w:cs="宋体"/>
                <w:color w:val="000000"/>
                <w:kern w:val="0"/>
                <w:szCs w:val="21"/>
              </w:rPr>
            </w:pPr>
            <w:r>
              <w:rPr>
                <w:rFonts w:hint="eastAsia" w:ascii="宋体" w:hAnsi="宋体" w:cs="宋体"/>
                <w:color w:val="000000"/>
                <w:kern w:val="0"/>
                <w:szCs w:val="21"/>
              </w:rPr>
              <w:t>有效性评价结果：达到培训目的，效果良好，全部通过。验证人：赵洁。</w:t>
            </w:r>
          </w:p>
          <w:p>
            <w:pPr>
              <w:pStyle w:val="2"/>
              <w:ind w:firstLine="210" w:firstLineChars="1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另抽其他7项培训记录，均保存完好，符合要求。</w:t>
            </w:r>
          </w:p>
          <w:p>
            <w:pPr>
              <w:pStyle w:val="3"/>
              <w:ind w:left="0"/>
            </w:pPr>
            <w:r>
              <w:rPr>
                <w:rFonts w:hint="eastAsia"/>
              </w:rPr>
              <w:t xml:space="preserve"> </w:t>
            </w:r>
          </w:p>
          <w:p>
            <w:pPr>
              <w:pStyle w:val="3"/>
              <w:ind w:left="0"/>
            </w:pPr>
            <w:r>
              <w:rPr>
                <w:rFonts w:hint="eastAsia"/>
              </w:rPr>
              <w:t>又抽查到公司：12人取得了项目考核合格证明</w:t>
            </w:r>
          </w:p>
          <w:p>
            <w:pPr>
              <w:pStyle w:val="3"/>
              <w:ind w:left="0"/>
            </w:pPr>
            <w:r>
              <w:rPr>
                <w:rFonts w:hint="eastAsia"/>
              </w:rPr>
              <w:t xml:space="preserve"> 1、陈晶   取得计量专业项目考核合格证明  合格证明编号：2021009</w:t>
            </w:r>
          </w:p>
          <w:p>
            <w:pPr>
              <w:pStyle w:val="3"/>
              <w:ind w:left="0"/>
            </w:pPr>
            <w:r>
              <w:rPr>
                <w:rFonts w:hint="eastAsia"/>
              </w:rPr>
              <w:t>签发日期：2021年2月24日  有效期至2023年23日</w:t>
            </w:r>
          </w:p>
          <w:p>
            <w:pPr>
              <w:pStyle w:val="3"/>
              <w:ind w:left="0"/>
            </w:pPr>
            <w:r>
              <w:rPr>
                <w:rFonts w:hint="eastAsia"/>
              </w:rPr>
              <w:t>附计量专业项目类别</w:t>
            </w:r>
          </w:p>
          <w:p>
            <w:pPr>
              <w:pStyle w:val="3"/>
              <w:ind w:left="0"/>
            </w:pPr>
          </w:p>
          <w:p>
            <w:pPr>
              <w:pStyle w:val="3"/>
              <w:ind w:left="0"/>
            </w:pPr>
          </w:p>
          <w:p>
            <w:pPr>
              <w:pStyle w:val="3"/>
              <w:ind w:left="0"/>
              <w:rPr>
                <w:rFonts w:eastAsiaTheme="minorEastAsia"/>
                <w:snapToGrid w:val="0"/>
                <w:color w:val="000000"/>
                <w:w w:val="0"/>
                <w:sz w:val="0"/>
                <w:szCs w:val="0"/>
                <w:u w:color="000000"/>
                <w:shd w:val="clear" w:color="000000" w:fill="000000"/>
              </w:rPr>
            </w:pPr>
            <w:r>
              <w:rPr>
                <w:rFonts w:hint="eastAsia"/>
              </w:rPr>
              <w:drawing>
                <wp:inline distT="0" distB="0" distL="0" distR="0">
                  <wp:extent cx="1152525" cy="1625600"/>
                  <wp:effectExtent l="19050" t="0" r="9525" b="0"/>
                  <wp:docPr id="26" name="图片 7" descr="C:\Users\Administrator\Desktop\微信图片_20220328234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C:\Users\Administrator\Desktop\微信图片_20220328234119.jpg"/>
                          <pic:cNvPicPr>
                            <a:picLocks noChangeAspect="1" noChangeArrowheads="1"/>
                          </pic:cNvPicPr>
                        </pic:nvPicPr>
                        <pic:blipFill>
                          <a:blip r:embed="rId10" cstate="print"/>
                          <a:srcRect/>
                          <a:stretch>
                            <a:fillRect/>
                          </a:stretch>
                        </pic:blipFill>
                        <pic:spPr>
                          <a:xfrm>
                            <a:off x="0" y="0"/>
                            <a:ext cx="1155285" cy="1629877"/>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drawing>
                <wp:inline distT="0" distB="0" distL="0" distR="0">
                  <wp:extent cx="1428750" cy="1640840"/>
                  <wp:effectExtent l="19050" t="0" r="0" b="0"/>
                  <wp:docPr id="27" name="图片 8" descr="C:\Users\Administrator\Desktop\微信图片_202203282341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descr="C:\Users\Administrator\Desktop\微信图片_202203282341191.jpg"/>
                          <pic:cNvPicPr>
                            <a:picLocks noChangeAspect="1" noChangeArrowheads="1"/>
                          </pic:cNvPicPr>
                        </pic:nvPicPr>
                        <pic:blipFill>
                          <a:blip r:embed="rId11" cstate="print"/>
                          <a:srcRect/>
                          <a:stretch>
                            <a:fillRect/>
                          </a:stretch>
                        </pic:blipFill>
                        <pic:spPr>
                          <a:xfrm>
                            <a:off x="0" y="0"/>
                            <a:ext cx="1433327" cy="1646690"/>
                          </a:xfrm>
                          <a:prstGeom prst="rect">
                            <a:avLst/>
                          </a:prstGeom>
                          <a:noFill/>
                          <a:ln w="9525">
                            <a:noFill/>
                            <a:miter lim="800000"/>
                            <a:headEnd/>
                            <a:tailEnd/>
                          </a:ln>
                        </pic:spPr>
                      </pic:pic>
                    </a:graphicData>
                  </a:graphic>
                </wp:inline>
              </w:drawing>
            </w:r>
          </w:p>
          <w:p>
            <w:pPr>
              <w:pStyle w:val="3"/>
              <w:ind w:left="0"/>
            </w:pPr>
            <w:r>
              <w:rPr>
                <w:rFonts w:hint="eastAsia"/>
              </w:rPr>
              <w:t>2、马宏霖  取得计量专业项目考核合格证明  合格证明编号：2021010</w:t>
            </w:r>
          </w:p>
          <w:p>
            <w:pPr>
              <w:pStyle w:val="3"/>
              <w:ind w:left="0"/>
            </w:pPr>
            <w:r>
              <w:rPr>
                <w:rFonts w:hint="eastAsia"/>
              </w:rPr>
              <w:t>签发日期：2021年2月24日  有效期至2023年23日</w:t>
            </w:r>
          </w:p>
          <w:p>
            <w:pPr>
              <w:pStyle w:val="3"/>
              <w:ind w:left="0"/>
            </w:pPr>
            <w:r>
              <w:rPr>
                <w:rFonts w:hint="eastAsia"/>
              </w:rPr>
              <w:t>附计量专业项目类别</w:t>
            </w:r>
          </w:p>
          <w:p>
            <w:pPr>
              <w:pStyle w:val="3"/>
              <w:ind w:left="0"/>
            </w:pPr>
          </w:p>
          <w:p>
            <w:pPr>
              <w:pStyle w:val="3"/>
              <w:ind w:left="0"/>
            </w:pPr>
            <w:r>
              <w:drawing>
                <wp:inline distT="0" distB="0" distL="0" distR="0">
                  <wp:extent cx="1570355" cy="2219325"/>
                  <wp:effectExtent l="19050" t="0" r="0" b="0"/>
                  <wp:docPr id="28" name="图片 9" descr="C:\Users\Administrator\Desktop\微信图片_202203282341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descr="C:\Users\Administrator\Desktop\微信图片_202203282341192.jpg"/>
                          <pic:cNvPicPr>
                            <a:picLocks noChangeAspect="1" noChangeArrowheads="1"/>
                          </pic:cNvPicPr>
                        </pic:nvPicPr>
                        <pic:blipFill>
                          <a:blip r:embed="rId12" cstate="print"/>
                          <a:srcRect/>
                          <a:stretch>
                            <a:fillRect/>
                          </a:stretch>
                        </pic:blipFill>
                        <pic:spPr>
                          <a:xfrm>
                            <a:off x="0" y="0"/>
                            <a:ext cx="1572165" cy="2221411"/>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drawing>
                <wp:inline distT="0" distB="0" distL="0" distR="0">
                  <wp:extent cx="1494790" cy="2112645"/>
                  <wp:effectExtent l="19050" t="0" r="0" b="0"/>
                  <wp:docPr id="29" name="图片 10" descr="C:\Users\Administrator\Desktop\微信图片_202203282341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descr="C:\Users\Administrator\Desktop\微信图片_202203282341193.jpg"/>
                          <pic:cNvPicPr>
                            <a:picLocks noChangeAspect="1" noChangeArrowheads="1"/>
                          </pic:cNvPicPr>
                        </pic:nvPicPr>
                        <pic:blipFill>
                          <a:blip r:embed="rId13" cstate="print"/>
                          <a:srcRect/>
                          <a:stretch>
                            <a:fillRect/>
                          </a:stretch>
                        </pic:blipFill>
                        <pic:spPr>
                          <a:xfrm>
                            <a:off x="0" y="0"/>
                            <a:ext cx="1499980" cy="2119415"/>
                          </a:xfrm>
                          <a:prstGeom prst="rect">
                            <a:avLst/>
                          </a:prstGeom>
                          <a:noFill/>
                          <a:ln w="9525">
                            <a:noFill/>
                            <a:miter lim="800000"/>
                            <a:headEnd/>
                            <a:tailEnd/>
                          </a:ln>
                        </pic:spPr>
                      </pic:pic>
                    </a:graphicData>
                  </a:graphic>
                </wp:inline>
              </w:drawing>
            </w:r>
          </w:p>
          <w:p>
            <w:pPr>
              <w:pStyle w:val="3"/>
              <w:ind w:left="0"/>
            </w:pPr>
            <w:r>
              <w:rPr>
                <w:rFonts w:hint="eastAsia"/>
              </w:rPr>
              <w:t>在抽潘志伟、赵永超等10人取得计量专业项目考核合格证明、附计量专业项目类别</w:t>
            </w:r>
          </w:p>
          <w:p>
            <w:pPr>
              <w:pStyle w:val="3"/>
              <w:ind w:left="0"/>
            </w:pPr>
            <w:r>
              <w:rPr>
                <w:rFonts w:hint="eastAsia"/>
              </w:rPr>
              <w:t>证书均在有效期内、保存完好，符合要求。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b/>
                <w:szCs w:val="21"/>
              </w:rPr>
            </w:pPr>
          </w:p>
        </w:tc>
        <w:tc>
          <w:tcPr>
            <w:tcW w:w="10004" w:type="dxa"/>
            <w:vAlign w:val="center"/>
          </w:tcPr>
          <w:p>
            <w:pPr>
              <w:spacing w:line="360" w:lineRule="auto"/>
              <w:ind w:firstLine="420" w:firstLineChars="200"/>
            </w:pPr>
            <w:r>
              <w:rPr>
                <w:rFonts w:hint="eastAsia"/>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szCs w:val="21"/>
              </w:rPr>
            </w:pPr>
            <w:r>
              <w:rPr>
                <w:rFonts w:hint="eastAsia"/>
              </w:rPr>
              <w:t>询问综合办公室</w:t>
            </w:r>
            <w:r>
              <w:rPr>
                <w:rFonts w:hint="eastAsia"/>
                <w:lang w:eastAsia="zh-CN"/>
              </w:rPr>
              <w:t>王妮</w:t>
            </w:r>
            <w:r>
              <w:rPr>
                <w:rFonts w:hint="eastAsia"/>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360" w:lineRule="auto"/>
            </w:pPr>
            <w:r>
              <w:rPr>
                <w:rFonts w:hint="eastAsia"/>
              </w:rPr>
              <w:t>沟通</w:t>
            </w:r>
          </w:p>
          <w:p>
            <w:pPr>
              <w:spacing w:line="360" w:lineRule="auto"/>
            </w:pPr>
          </w:p>
        </w:tc>
        <w:tc>
          <w:tcPr>
            <w:tcW w:w="998" w:type="dxa"/>
          </w:tcPr>
          <w:p>
            <w:pPr>
              <w:spacing w:line="360" w:lineRule="auto"/>
            </w:pPr>
            <w:r>
              <w:rPr>
                <w:rFonts w:hint="eastAsia"/>
              </w:rPr>
              <w:t>QE7.4</w:t>
            </w:r>
          </w:p>
        </w:tc>
        <w:tc>
          <w:tcPr>
            <w:tcW w:w="10004" w:type="dxa"/>
            <w:vAlign w:val="center"/>
          </w:tcPr>
          <w:p>
            <w:pPr>
              <w:spacing w:line="360" w:lineRule="auto"/>
              <w:ind w:firstLine="420" w:firstLineChars="200"/>
              <w:rPr>
                <w:szCs w:val="21"/>
              </w:rPr>
            </w:pPr>
            <w:r>
              <w:rPr>
                <w:rFonts w:hint="eastAsia"/>
                <w:szCs w:val="21"/>
              </w:rPr>
              <w:t>公司编制并实施了《信息交流控制程序》，规定了职责、工作流程，包括内部沟通和外部沟通的方法和要求。</w:t>
            </w:r>
          </w:p>
          <w:p>
            <w:pPr>
              <w:spacing w:line="360" w:lineRule="auto"/>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综合办公室统一负责。</w:t>
            </w:r>
          </w:p>
          <w:p>
            <w:pPr>
              <w:spacing w:line="360" w:lineRule="auto"/>
              <w:ind w:firstLine="420" w:firstLineChars="200"/>
              <w:rPr>
                <w:szCs w:val="21"/>
              </w:rPr>
            </w:pPr>
            <w:r>
              <w:rPr>
                <w:rFonts w:hint="eastAsia"/>
                <w:szCs w:val="21"/>
              </w:rPr>
              <w:t>现场查阅内部交流：方针、目标完成情况、内审和管理评审报告、不符合信息等。</w:t>
            </w:r>
          </w:p>
          <w:p>
            <w:pPr>
              <w:spacing w:line="360" w:lineRule="auto"/>
              <w:ind w:firstLine="420" w:firstLineChars="200"/>
              <w:rPr>
                <w:szCs w:val="21"/>
              </w:rPr>
            </w:pPr>
            <w:r>
              <w:rPr>
                <w:rFonts w:hint="eastAsia"/>
                <w:szCs w:val="21"/>
              </w:rPr>
              <w:t>外部交流：通过发放《相关方环境及职业健康安全告知书》与相关方就相关环境、职业健康安全信息进行相互沟通。</w:t>
            </w:r>
          </w:p>
          <w:p>
            <w:pPr>
              <w:spacing w:line="360" w:lineRule="auto"/>
              <w:ind w:firstLine="420" w:firstLineChars="200"/>
              <w:rPr>
                <w:szCs w:val="21"/>
              </w:rPr>
            </w:pPr>
            <w:r>
              <w:rPr>
                <w:rFonts w:hint="eastAsia"/>
                <w:szCs w:val="21"/>
              </w:rPr>
              <w:t>和员工潘志伟面谈，知道公司的管理者代表及职业健康安全事务代表。</w:t>
            </w:r>
          </w:p>
          <w:p>
            <w:pPr>
              <w:spacing w:line="360" w:lineRule="auto"/>
              <w:ind w:firstLine="420" w:firstLineChars="200"/>
              <w:rPr>
                <w:szCs w:val="21"/>
              </w:rPr>
            </w:pPr>
            <w:r>
              <w:rPr>
                <w:rFonts w:hint="eastAsia"/>
                <w:szCs w:val="21"/>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成文信息</w:t>
            </w:r>
          </w:p>
          <w:p>
            <w:pPr>
              <w:spacing w:line="360" w:lineRule="auto"/>
              <w:rPr>
                <w:rFonts w:ascii="宋体" w:hAnsi="宋体" w:cs="宋体"/>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QE7.5</w:t>
            </w:r>
          </w:p>
          <w:p>
            <w:pPr>
              <w:spacing w:line="360" w:lineRule="auto"/>
              <w:rPr>
                <w:rFonts w:ascii="宋体" w:hAnsi="宋体" w:cs="宋体"/>
                <w:color w:val="000000"/>
                <w:kern w:val="0"/>
                <w:szCs w:val="21"/>
              </w:rPr>
            </w:pPr>
          </w:p>
        </w:tc>
        <w:tc>
          <w:tcPr>
            <w:tcW w:w="10004" w:type="dxa"/>
            <w:vAlign w:val="center"/>
          </w:tcPr>
          <w:p>
            <w:pPr>
              <w:spacing w:line="360" w:lineRule="auto"/>
              <w:ind w:firstLine="420" w:firstLineChars="200"/>
              <w:rPr>
                <w:szCs w:val="21"/>
              </w:rPr>
            </w:pPr>
            <w:r>
              <w:rPr>
                <w:rFonts w:hint="eastAsia"/>
                <w:szCs w:val="21"/>
              </w:rPr>
              <w:t>公司形成了文件化的管理手册、程序文件、管理制度以及所要求的记录。公司编制的程序文件基本符合标准要求的所有程序文件，对体系及其相互关系在手册中做了描述，记录表单满足公司目前的质量体系运行的需要。</w:t>
            </w:r>
          </w:p>
          <w:p>
            <w:pPr>
              <w:spacing w:line="360" w:lineRule="auto"/>
              <w:ind w:firstLine="420" w:firstLineChars="200"/>
              <w:rPr>
                <w:szCs w:val="21"/>
              </w:rPr>
            </w:pPr>
            <w:r>
              <w:rPr>
                <w:rFonts w:hint="eastAsia"/>
                <w:szCs w:val="21"/>
              </w:rPr>
              <w:t>公司文件分类：一级文件：管理手册。</w:t>
            </w:r>
          </w:p>
          <w:p>
            <w:pPr>
              <w:spacing w:line="360" w:lineRule="auto"/>
              <w:ind w:firstLine="420" w:firstLineChars="200"/>
              <w:rPr>
                <w:szCs w:val="21"/>
              </w:rPr>
            </w:pPr>
            <w:r>
              <w:rPr>
                <w:rFonts w:hint="eastAsia"/>
                <w:szCs w:val="21"/>
              </w:rPr>
              <w:t>二级文件：公司编制了程序文件，包括质量、环境、职业健康安全标准要求的所有程序。</w:t>
            </w:r>
          </w:p>
          <w:p>
            <w:pPr>
              <w:spacing w:line="360" w:lineRule="auto"/>
              <w:ind w:firstLine="420" w:firstLineChars="200"/>
              <w:rPr>
                <w:szCs w:val="21"/>
              </w:rPr>
            </w:pPr>
            <w:r>
              <w:rPr>
                <w:rFonts w:hint="eastAsia"/>
                <w:szCs w:val="21"/>
              </w:rPr>
              <w:t>三层次文件：管理制度，外来文件：包括计量器具的检定、校准、技术咨询及服务；仪器仪表的维护管理实施细则等，环境、职业健康安全及运行记录，满足公司目前的管理体系运行的需要。体系文件基本能保证有效性和效率的要求。</w:t>
            </w:r>
          </w:p>
          <w:p>
            <w:pPr>
              <w:spacing w:line="360" w:lineRule="auto"/>
              <w:ind w:firstLine="420" w:firstLineChars="200"/>
              <w:rPr>
                <w:szCs w:val="21"/>
              </w:rPr>
            </w:pPr>
            <w:r>
              <w:rPr>
                <w:rFonts w:hint="eastAsia"/>
                <w:szCs w:val="21"/>
              </w:rPr>
              <w:t>查公司按照文审要求对管理手册进行了修改，符合要求。</w:t>
            </w:r>
          </w:p>
          <w:p>
            <w:pPr>
              <w:spacing w:line="360" w:lineRule="auto"/>
              <w:ind w:firstLine="420" w:firstLineChars="200"/>
              <w:rPr>
                <w:szCs w:val="21"/>
              </w:rPr>
            </w:pPr>
            <w:r>
              <w:rPr>
                <w:rFonts w:hint="eastAsia"/>
                <w:szCs w:val="21"/>
              </w:rPr>
              <w:t>公司编制并实施了《文件控制程序》，文件包括：管理手册、程序文件、各种管理制度等。</w:t>
            </w:r>
          </w:p>
          <w:p>
            <w:pPr>
              <w:spacing w:line="360" w:lineRule="auto"/>
              <w:ind w:firstLine="420" w:firstLineChars="200"/>
              <w:rPr>
                <w:szCs w:val="21"/>
              </w:rPr>
            </w:pPr>
            <w:r>
              <w:rPr>
                <w:rFonts w:hint="eastAsia"/>
                <w:szCs w:val="21"/>
              </w:rPr>
              <w:t>无企业标准。</w:t>
            </w:r>
          </w:p>
          <w:p>
            <w:pPr>
              <w:spacing w:line="360" w:lineRule="auto"/>
              <w:ind w:firstLine="420" w:firstLineChars="200"/>
              <w:rPr>
                <w:szCs w:val="21"/>
              </w:rPr>
            </w:pPr>
            <w:r>
              <w:rPr>
                <w:rFonts w:hint="eastAsia"/>
                <w:szCs w:val="21"/>
              </w:rPr>
              <w:t>查管理手册、程序文件等文件，编制：文件编制小组，审核：赵洁，批准：赵平，2020年9月1日，查文件编审批手续齐全、文件清晰、编号符合文件控制程序要求。查综合办公室文件，都有受控标识，有效版本。</w:t>
            </w:r>
          </w:p>
          <w:p>
            <w:pPr>
              <w:spacing w:line="360" w:lineRule="auto"/>
              <w:ind w:firstLine="420" w:firstLineChars="200"/>
              <w:rPr>
                <w:b/>
                <w:bCs/>
                <w:color w:val="FF0000"/>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w:t>
            </w:r>
          </w:p>
          <w:p>
            <w:pPr>
              <w:spacing w:line="360" w:lineRule="auto"/>
              <w:ind w:firstLine="420" w:firstLineChars="200"/>
              <w:rPr>
                <w:szCs w:val="21"/>
              </w:rPr>
            </w:pPr>
            <w:r>
              <w:rPr>
                <w:rFonts w:hint="eastAsia"/>
                <w:szCs w:val="21"/>
              </w:rPr>
              <w:t>查文件发放：综合办公室2020年9月1日下发了管理手册、程序文件、管理制度汇编等文件。</w:t>
            </w:r>
          </w:p>
          <w:p>
            <w:pPr>
              <w:spacing w:line="360" w:lineRule="auto"/>
              <w:ind w:firstLine="420" w:firstLineChars="200"/>
              <w:rPr>
                <w:szCs w:val="21"/>
              </w:rPr>
            </w:pPr>
            <w:r>
              <w:rPr>
                <w:rFonts w:hint="eastAsia"/>
                <w:szCs w:val="21"/>
              </w:rPr>
              <w:t>查综合办公室文件有标识，检索方便，文件夹存放于文件柜内，防护符合要求。</w:t>
            </w:r>
          </w:p>
          <w:p>
            <w:pPr>
              <w:spacing w:line="360" w:lineRule="auto"/>
              <w:ind w:firstLine="420" w:firstLineChars="200"/>
              <w:rPr>
                <w:szCs w:val="21"/>
              </w:rPr>
            </w:pPr>
            <w:r>
              <w:rPr>
                <w:rFonts w:hint="eastAsia"/>
                <w:szCs w:val="21"/>
              </w:rPr>
              <w:t>公司编制并实施了《记录控制程序》对管理体系记录的标识、贮存、保护、检索、保存期限和处置等作了明确规定，符合要求。公司提供《记录一览表》—有内审报告、供方评价表、采购清单、管理评审报告等记录。明确了记录名称、编号、使用保存部门、保存期限等，并经审核后使用。公司各种记录由各使用部门保存，查阅综合办公室保存的记录环境情况，归档文件、记录存放于通风、干燥、防蛀的文件柜内，环境干燥、通风，符合文件归档的要求。</w:t>
            </w:r>
          </w:p>
          <w:p>
            <w:pPr>
              <w:spacing w:line="360" w:lineRule="auto"/>
              <w:ind w:firstLine="420" w:firstLineChars="200"/>
              <w:rPr>
                <w:szCs w:val="21"/>
              </w:rPr>
            </w:pPr>
            <w:r>
              <w:rPr>
                <w:rFonts w:hint="eastAsia"/>
                <w:szCs w:val="21"/>
              </w:rPr>
              <w:t>抽查归档文件整理情况，综合办公室已将文件进行了分类，按文件的名称、编号及时间装文件袋进行归档，文件较清洁，字迹清晰，检索方便，抽查有内部审核资料、管理评审资料等，均已装订成册。</w:t>
            </w:r>
          </w:p>
          <w:p>
            <w:pPr>
              <w:spacing w:line="360" w:lineRule="auto"/>
              <w:ind w:firstLine="420" w:firstLineChars="200"/>
              <w:rPr>
                <w:szCs w:val="21"/>
              </w:rPr>
            </w:pPr>
            <w:r>
              <w:rPr>
                <w:rFonts w:hint="eastAsia"/>
                <w:szCs w:val="21"/>
              </w:rPr>
              <w:t>外来记录（如顾客投诉记录等）由相关部门负责保管、归档。</w:t>
            </w:r>
          </w:p>
          <w:p>
            <w:pPr>
              <w:spacing w:line="360" w:lineRule="auto"/>
              <w:ind w:firstLine="420" w:firstLineChars="200"/>
              <w:rPr>
                <w:szCs w:val="21"/>
              </w:rPr>
            </w:pPr>
            <w:r>
              <w:rPr>
                <w:rFonts w:hint="eastAsia"/>
                <w:szCs w:val="21"/>
              </w:rPr>
              <w:t>原件记录原则上不外借，其它记录查阅时须有关部门同意后，方可查阅。</w:t>
            </w:r>
          </w:p>
          <w:p>
            <w:pPr>
              <w:spacing w:line="360" w:lineRule="auto"/>
              <w:ind w:firstLine="420" w:firstLineChars="200"/>
              <w:rPr>
                <w:rFonts w:hint="default" w:eastAsia="宋体"/>
                <w:szCs w:val="21"/>
                <w:lang w:val="en-US" w:eastAsia="zh-CN"/>
              </w:rPr>
            </w:pPr>
            <w:r>
              <w:rPr>
                <w:rFonts w:hint="eastAsia"/>
                <w:szCs w:val="21"/>
              </w:rPr>
              <w:t>记录控制基本有效。</w:t>
            </w:r>
            <w:r>
              <w:rPr>
                <w:rFonts w:hint="eastAsia"/>
                <w:szCs w:val="21"/>
                <w:lang w:val="en-US" w:eastAsia="zh-CN"/>
              </w:rPr>
              <w:t>上次审核至今未发生变化。</w:t>
            </w:r>
          </w:p>
        </w:tc>
        <w:tc>
          <w:tcPr>
            <w:tcW w:w="1585" w:type="dxa"/>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rPr>
                <w:rFonts w:ascii="宋体" w:hAnsi="宋体" w:cs="宋体"/>
                <w:szCs w:val="21"/>
              </w:rPr>
            </w:pPr>
            <w:r>
              <w:rPr>
                <w:rFonts w:hint="eastAsia" w:ascii="宋体" w:hAnsi="宋体" w:cs="Arial"/>
                <w:szCs w:val="21"/>
              </w:rPr>
              <w:t>分析与评价</w:t>
            </w:r>
          </w:p>
        </w:tc>
        <w:tc>
          <w:tcPr>
            <w:tcW w:w="998"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Q9.1.3</w:t>
            </w:r>
          </w:p>
        </w:tc>
        <w:tc>
          <w:tcPr>
            <w:tcW w:w="10004" w:type="dxa"/>
            <w:vAlign w:val="center"/>
          </w:tcPr>
          <w:p>
            <w:pPr>
              <w:spacing w:line="360" w:lineRule="auto"/>
              <w:ind w:firstLine="420" w:firstLineChars="200"/>
              <w:rPr>
                <w:rFonts w:ascii="宋体" w:hAnsi="宋体"/>
                <w:szCs w:val="21"/>
              </w:rPr>
            </w:pPr>
            <w:r>
              <w:rPr>
                <w:rFonts w:hint="eastAsia" w:ascii="宋体" w:hAnsi="宋体"/>
                <w:szCs w:val="21"/>
              </w:rPr>
              <w:t>经查：部门根据监视和测量获得的数据和信息，组织相关部门进行了分析评价。包括：对公司及各部门质量目标完成情见进行分析，确定管理体系运行状况（见管理评审输入）；对顾客满意有关的信息进行了分析，以确定顾客满意程度（见运营管理部9.1.2）；</w:t>
            </w:r>
          </w:p>
          <w:p>
            <w:pPr>
              <w:spacing w:line="360" w:lineRule="auto"/>
              <w:ind w:firstLine="420" w:firstLineChars="200"/>
              <w:rPr>
                <w:rFonts w:ascii="宋体" w:hAnsi="宋体"/>
                <w:szCs w:val="21"/>
              </w:rPr>
            </w:pPr>
            <w:r>
              <w:rPr>
                <w:rFonts w:hint="eastAsia" w:ascii="宋体" w:hAnsi="宋体"/>
                <w:szCs w:val="21"/>
              </w:rPr>
              <w:t>对内部审核的有关信息和应对风险措施的有效性进行分析，以确定管理管理体系的有效性（见综合办公室9.2）。</w:t>
            </w:r>
          </w:p>
          <w:p>
            <w:pPr>
              <w:spacing w:line="360" w:lineRule="auto"/>
              <w:ind w:firstLine="420" w:firstLineChars="200"/>
              <w:rPr>
                <w:rFonts w:ascii="宋体" w:hAnsi="宋体" w:cs="宋体"/>
                <w:szCs w:val="21"/>
              </w:rPr>
            </w:pPr>
            <w:r>
              <w:rPr>
                <w:rFonts w:hint="eastAsia" w:ascii="宋体" w:hAnsi="宋体"/>
                <w:szCs w:val="21"/>
              </w:rPr>
              <w:t>部门在汇总以上分析结果的基础上，分析针对风险和机遇所采取措施的有效性，积极寻找管理管理体系持续改进的机会，通过管理评审会议的改进决策进行管理管理体系的持续改进（见相关部门检查表）。</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pPr>
            <w:r>
              <w:rPr>
                <w:rFonts w:hint="eastAsia"/>
              </w:rPr>
              <w:t>备注：</w:t>
            </w:r>
          </w:p>
        </w:tc>
      </w:tr>
    </w:tbl>
    <w:p>
      <w:r>
        <w:ptab w:relativeTo="margin" w:alignment="center" w:leader="none"/>
      </w:r>
    </w:p>
    <w:p>
      <w:pPr>
        <w:pStyle w:val="6"/>
      </w:pPr>
      <w:r>
        <w:rPr>
          <w:rFonts w:hint="eastAsia"/>
        </w:rPr>
        <w:t>说明：不符合标注N</w:t>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ETYAAAACwEAAA8AAAAAAAAAAQAgAAAAIgAAAGRycy9kb3ducmV2&#10;LnhtbFBLAQIUABQAAAAIAIdO4kCol5DJwwEAAHkDAAAOAAAAAAAAAAEAIAAAACcBAABkcnMvZTJv&#10;RG9jLnhtbFBLBQYAAAAABgAGAFkBAABcBQAAAAA=&#1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7"/>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14B16"/>
    <w:rsid w:val="00011ABE"/>
    <w:rsid w:val="00076C21"/>
    <w:rsid w:val="00077C88"/>
    <w:rsid w:val="000A75BA"/>
    <w:rsid w:val="000B0913"/>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15CE5"/>
    <w:rsid w:val="00237337"/>
    <w:rsid w:val="00242EC4"/>
    <w:rsid w:val="002533F4"/>
    <w:rsid w:val="00273847"/>
    <w:rsid w:val="002871F4"/>
    <w:rsid w:val="00287457"/>
    <w:rsid w:val="002B36EC"/>
    <w:rsid w:val="002C22A6"/>
    <w:rsid w:val="002E29A0"/>
    <w:rsid w:val="002E55EA"/>
    <w:rsid w:val="002F05BD"/>
    <w:rsid w:val="002F3816"/>
    <w:rsid w:val="003015FB"/>
    <w:rsid w:val="00302B0E"/>
    <w:rsid w:val="003273C2"/>
    <w:rsid w:val="003445A0"/>
    <w:rsid w:val="003541E0"/>
    <w:rsid w:val="00364D71"/>
    <w:rsid w:val="003738C3"/>
    <w:rsid w:val="00382525"/>
    <w:rsid w:val="00384FEF"/>
    <w:rsid w:val="00397D3F"/>
    <w:rsid w:val="003C254E"/>
    <w:rsid w:val="003E434A"/>
    <w:rsid w:val="0042030E"/>
    <w:rsid w:val="0043712F"/>
    <w:rsid w:val="004450A7"/>
    <w:rsid w:val="0046375D"/>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45CD"/>
    <w:rsid w:val="00646303"/>
    <w:rsid w:val="0066353B"/>
    <w:rsid w:val="00663A52"/>
    <w:rsid w:val="00665E60"/>
    <w:rsid w:val="00672093"/>
    <w:rsid w:val="00672CC5"/>
    <w:rsid w:val="00680222"/>
    <w:rsid w:val="006842EC"/>
    <w:rsid w:val="006E4E1C"/>
    <w:rsid w:val="006F2650"/>
    <w:rsid w:val="006F2C8A"/>
    <w:rsid w:val="00713C1D"/>
    <w:rsid w:val="00715292"/>
    <w:rsid w:val="00720780"/>
    <w:rsid w:val="007469D5"/>
    <w:rsid w:val="0075560B"/>
    <w:rsid w:val="00756C63"/>
    <w:rsid w:val="00761387"/>
    <w:rsid w:val="00774749"/>
    <w:rsid w:val="007861D2"/>
    <w:rsid w:val="00791BA1"/>
    <w:rsid w:val="00797BA7"/>
    <w:rsid w:val="007B4E33"/>
    <w:rsid w:val="007C5A7D"/>
    <w:rsid w:val="007C6A31"/>
    <w:rsid w:val="007D3A58"/>
    <w:rsid w:val="007E6050"/>
    <w:rsid w:val="00801B19"/>
    <w:rsid w:val="00814B16"/>
    <w:rsid w:val="008242EA"/>
    <w:rsid w:val="008265BB"/>
    <w:rsid w:val="00834CE8"/>
    <w:rsid w:val="0085042B"/>
    <w:rsid w:val="008631F9"/>
    <w:rsid w:val="008667F0"/>
    <w:rsid w:val="0087257E"/>
    <w:rsid w:val="00886729"/>
    <w:rsid w:val="008A1509"/>
    <w:rsid w:val="008B3B2F"/>
    <w:rsid w:val="008C01A2"/>
    <w:rsid w:val="008D2E87"/>
    <w:rsid w:val="008D3475"/>
    <w:rsid w:val="008D7CB4"/>
    <w:rsid w:val="00911D5E"/>
    <w:rsid w:val="0092791F"/>
    <w:rsid w:val="00934AD4"/>
    <w:rsid w:val="00954D65"/>
    <w:rsid w:val="00955C0E"/>
    <w:rsid w:val="00976860"/>
    <w:rsid w:val="00991AEB"/>
    <w:rsid w:val="00992529"/>
    <w:rsid w:val="009977CF"/>
    <w:rsid w:val="009B1072"/>
    <w:rsid w:val="009C310E"/>
    <w:rsid w:val="00A01526"/>
    <w:rsid w:val="00A23D1B"/>
    <w:rsid w:val="00A30F85"/>
    <w:rsid w:val="00A52229"/>
    <w:rsid w:val="00A730E9"/>
    <w:rsid w:val="00A76F84"/>
    <w:rsid w:val="00A86196"/>
    <w:rsid w:val="00A90CB7"/>
    <w:rsid w:val="00A94706"/>
    <w:rsid w:val="00AB5CFD"/>
    <w:rsid w:val="00AE6698"/>
    <w:rsid w:val="00B007F3"/>
    <w:rsid w:val="00B03AA7"/>
    <w:rsid w:val="00B119B7"/>
    <w:rsid w:val="00B361C1"/>
    <w:rsid w:val="00B531A8"/>
    <w:rsid w:val="00B53B05"/>
    <w:rsid w:val="00B6239E"/>
    <w:rsid w:val="00B6507C"/>
    <w:rsid w:val="00B75F54"/>
    <w:rsid w:val="00B923E4"/>
    <w:rsid w:val="00C277AC"/>
    <w:rsid w:val="00C41F32"/>
    <w:rsid w:val="00C4272D"/>
    <w:rsid w:val="00C44388"/>
    <w:rsid w:val="00C60EB8"/>
    <w:rsid w:val="00C827AA"/>
    <w:rsid w:val="00C856E9"/>
    <w:rsid w:val="00C92E48"/>
    <w:rsid w:val="00C94573"/>
    <w:rsid w:val="00CA1BE3"/>
    <w:rsid w:val="00CD1E5C"/>
    <w:rsid w:val="00CD4ED7"/>
    <w:rsid w:val="00CD58BC"/>
    <w:rsid w:val="00D05DB2"/>
    <w:rsid w:val="00D274D9"/>
    <w:rsid w:val="00D6037A"/>
    <w:rsid w:val="00D937E0"/>
    <w:rsid w:val="00DA0224"/>
    <w:rsid w:val="00DA22FF"/>
    <w:rsid w:val="00DB3FEF"/>
    <w:rsid w:val="00DE1A2C"/>
    <w:rsid w:val="00DE2FCE"/>
    <w:rsid w:val="00DF19AB"/>
    <w:rsid w:val="00DF52F2"/>
    <w:rsid w:val="00E0114F"/>
    <w:rsid w:val="00E11BD3"/>
    <w:rsid w:val="00E17655"/>
    <w:rsid w:val="00E219A3"/>
    <w:rsid w:val="00E41911"/>
    <w:rsid w:val="00E556FE"/>
    <w:rsid w:val="00E707CA"/>
    <w:rsid w:val="00E76E48"/>
    <w:rsid w:val="00E944DC"/>
    <w:rsid w:val="00E97080"/>
    <w:rsid w:val="00E97654"/>
    <w:rsid w:val="00EA2EA2"/>
    <w:rsid w:val="00EB1A5C"/>
    <w:rsid w:val="00EB6AAC"/>
    <w:rsid w:val="00ED41DC"/>
    <w:rsid w:val="00EE43A0"/>
    <w:rsid w:val="00EE6BAB"/>
    <w:rsid w:val="00EF1824"/>
    <w:rsid w:val="00F01F3E"/>
    <w:rsid w:val="00F05246"/>
    <w:rsid w:val="00F11424"/>
    <w:rsid w:val="00F13731"/>
    <w:rsid w:val="00F43847"/>
    <w:rsid w:val="00F43CC1"/>
    <w:rsid w:val="00F505F7"/>
    <w:rsid w:val="00F5455B"/>
    <w:rsid w:val="00F62C59"/>
    <w:rsid w:val="00F76D5C"/>
    <w:rsid w:val="00F85082"/>
    <w:rsid w:val="00FB5026"/>
    <w:rsid w:val="00FB6FAA"/>
    <w:rsid w:val="00FD096A"/>
    <w:rsid w:val="00FF01F3"/>
    <w:rsid w:val="00FF0A51"/>
    <w:rsid w:val="00FF1D21"/>
    <w:rsid w:val="00FF5E6D"/>
    <w:rsid w:val="01BD4AF8"/>
    <w:rsid w:val="020129FE"/>
    <w:rsid w:val="021522E9"/>
    <w:rsid w:val="032B7C93"/>
    <w:rsid w:val="047D4E9D"/>
    <w:rsid w:val="04B03A25"/>
    <w:rsid w:val="056D41CE"/>
    <w:rsid w:val="07377923"/>
    <w:rsid w:val="078522A3"/>
    <w:rsid w:val="081310A2"/>
    <w:rsid w:val="092F489E"/>
    <w:rsid w:val="0A755CD1"/>
    <w:rsid w:val="0B5E05CB"/>
    <w:rsid w:val="0B692B37"/>
    <w:rsid w:val="0C625E1B"/>
    <w:rsid w:val="0DE3632D"/>
    <w:rsid w:val="0EC6526F"/>
    <w:rsid w:val="10CC15C0"/>
    <w:rsid w:val="113D29BF"/>
    <w:rsid w:val="116E4D89"/>
    <w:rsid w:val="11B844E6"/>
    <w:rsid w:val="129057E6"/>
    <w:rsid w:val="12FD2E93"/>
    <w:rsid w:val="158E45BA"/>
    <w:rsid w:val="15CE07FC"/>
    <w:rsid w:val="163E2E11"/>
    <w:rsid w:val="167769A9"/>
    <w:rsid w:val="1A822FA7"/>
    <w:rsid w:val="1B3936B3"/>
    <w:rsid w:val="1BE846E9"/>
    <w:rsid w:val="1D8F5B9A"/>
    <w:rsid w:val="1DC40F3E"/>
    <w:rsid w:val="1E17525C"/>
    <w:rsid w:val="1EC7308C"/>
    <w:rsid w:val="1EED5939"/>
    <w:rsid w:val="1F591E4B"/>
    <w:rsid w:val="227B4D7D"/>
    <w:rsid w:val="22E81A15"/>
    <w:rsid w:val="24EE4865"/>
    <w:rsid w:val="257A46A2"/>
    <w:rsid w:val="257D44A6"/>
    <w:rsid w:val="26EB66E8"/>
    <w:rsid w:val="2B4C75CA"/>
    <w:rsid w:val="2EBF1259"/>
    <w:rsid w:val="315A769F"/>
    <w:rsid w:val="328D0D90"/>
    <w:rsid w:val="332F6E2E"/>
    <w:rsid w:val="33EC0E30"/>
    <w:rsid w:val="352411A6"/>
    <w:rsid w:val="35655683"/>
    <w:rsid w:val="357462AA"/>
    <w:rsid w:val="35B56C99"/>
    <w:rsid w:val="36106290"/>
    <w:rsid w:val="366131A6"/>
    <w:rsid w:val="36BE5965"/>
    <w:rsid w:val="37203C8D"/>
    <w:rsid w:val="37E42671"/>
    <w:rsid w:val="38B77B12"/>
    <w:rsid w:val="38CE76F2"/>
    <w:rsid w:val="38E44796"/>
    <w:rsid w:val="391D226E"/>
    <w:rsid w:val="395F4350"/>
    <w:rsid w:val="39DF646A"/>
    <w:rsid w:val="3B7924D0"/>
    <w:rsid w:val="3D2B29BB"/>
    <w:rsid w:val="3E676E01"/>
    <w:rsid w:val="3ED56DC4"/>
    <w:rsid w:val="3F1E1F7C"/>
    <w:rsid w:val="4074648A"/>
    <w:rsid w:val="418C5867"/>
    <w:rsid w:val="42684491"/>
    <w:rsid w:val="435A28E4"/>
    <w:rsid w:val="43FB2AF0"/>
    <w:rsid w:val="45060F3E"/>
    <w:rsid w:val="47432516"/>
    <w:rsid w:val="47AB2FC0"/>
    <w:rsid w:val="47D469F7"/>
    <w:rsid w:val="47EC179A"/>
    <w:rsid w:val="48012986"/>
    <w:rsid w:val="4913714F"/>
    <w:rsid w:val="4A95487A"/>
    <w:rsid w:val="4C7E4A49"/>
    <w:rsid w:val="4CBB7CB4"/>
    <w:rsid w:val="4DED56EF"/>
    <w:rsid w:val="4EF0704D"/>
    <w:rsid w:val="4EFE3272"/>
    <w:rsid w:val="4F3B0425"/>
    <w:rsid w:val="4FD138C7"/>
    <w:rsid w:val="51816C5F"/>
    <w:rsid w:val="52630829"/>
    <w:rsid w:val="52AC7220"/>
    <w:rsid w:val="52C15ED1"/>
    <w:rsid w:val="5493123C"/>
    <w:rsid w:val="5827195E"/>
    <w:rsid w:val="5AA5570D"/>
    <w:rsid w:val="5DA62ACB"/>
    <w:rsid w:val="5E407D9F"/>
    <w:rsid w:val="5E8414C5"/>
    <w:rsid w:val="62C20DB6"/>
    <w:rsid w:val="62E8549C"/>
    <w:rsid w:val="639A03A2"/>
    <w:rsid w:val="641807B5"/>
    <w:rsid w:val="6478545D"/>
    <w:rsid w:val="67500C85"/>
    <w:rsid w:val="689D56E8"/>
    <w:rsid w:val="690E7415"/>
    <w:rsid w:val="693E7AF0"/>
    <w:rsid w:val="69F51D33"/>
    <w:rsid w:val="6B8122DC"/>
    <w:rsid w:val="6C0A5707"/>
    <w:rsid w:val="6E3312F4"/>
    <w:rsid w:val="6EA44CFD"/>
    <w:rsid w:val="6FC67861"/>
    <w:rsid w:val="701E3F32"/>
    <w:rsid w:val="723164F6"/>
    <w:rsid w:val="729B5296"/>
    <w:rsid w:val="72DA6CFE"/>
    <w:rsid w:val="73371E1F"/>
    <w:rsid w:val="7367290E"/>
    <w:rsid w:val="73C01D14"/>
    <w:rsid w:val="746D0F84"/>
    <w:rsid w:val="747D06DB"/>
    <w:rsid w:val="752D00F5"/>
    <w:rsid w:val="75422BB9"/>
    <w:rsid w:val="76B43CA8"/>
    <w:rsid w:val="774D21BB"/>
    <w:rsid w:val="789B5077"/>
    <w:rsid w:val="7A172C96"/>
    <w:rsid w:val="7A3F072B"/>
    <w:rsid w:val="7A695463"/>
    <w:rsid w:val="7AD237C2"/>
    <w:rsid w:val="7BC807EB"/>
    <w:rsid w:val="7EE530FF"/>
    <w:rsid w:val="7F6838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99"/>
    <w:pPr>
      <w:spacing w:before="25" w:after="25"/>
    </w:pPr>
    <w:rPr>
      <w:bCs/>
      <w:spacing w:val="1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C947B-797B-424A-838F-09854AAD1CD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22</Pages>
  <Words>9278</Words>
  <Characters>9898</Characters>
  <Lines>74</Lines>
  <Paragraphs>20</Paragraphs>
  <TotalTime>1</TotalTime>
  <ScaleCrop>false</ScaleCrop>
  <LinksUpToDate>false</LinksUpToDate>
  <CharactersWithSpaces>10035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强子</cp:lastModifiedBy>
  <dcterms:modified xsi:type="dcterms:W3CDTF">2022-03-30T09:01:31Z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C8817FB7B09145B899C39AA7DEF62AD3</vt:lpwstr>
  </property>
</Properties>
</file>