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jc w:val="left"/>
        <w:rPr>
          <w:b/>
          <w:bCs/>
          <w:color w:val="000000" w:themeColor="text1"/>
          <w:sz w:val="21"/>
          <w:szCs w:val="21"/>
          <w:u w:val="single"/>
        </w:rPr>
      </w:pPr>
      <w:r>
        <w:rPr>
          <w:rFonts w:hint="eastAsia"/>
          <w:b/>
          <w:color w:val="000000" w:themeColor="text1"/>
          <w:sz w:val="21"/>
          <w:szCs w:val="21"/>
        </w:rPr>
        <w:t>合同号:</w:t>
      </w:r>
      <w:bookmarkStart w:id="0" w:name="合同编号"/>
      <w:r>
        <w:rPr>
          <w:b/>
          <w:bCs/>
          <w:color w:val="000000" w:themeColor="text1"/>
          <w:sz w:val="21"/>
          <w:szCs w:val="21"/>
          <w:u w:val="single"/>
        </w:rPr>
        <w:t>0159-2021-QEOEnMS-2022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青海湘和有色金属有限责任公司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Q:,E:,O:,EnMS:</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91633000781437757A</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rFonts w:hint="eastAsia" w:ascii="Wingdings" w:hAnsi="Wingdings"/>
                <w:sz w:val="22"/>
                <w:szCs w:val="22"/>
              </w:rPr>
              <w:t>无标志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r>
              <w:rPr>
                <w:rFonts w:hint="eastAsia"/>
                <w:sz w:val="22"/>
                <w:szCs w:val="22"/>
              </w:rPr>
              <w:t>■ GB/T 23331-2020 idt ISO 50001:2018标准；</w:t>
            </w:r>
          </w:p>
          <w:p>
            <w:pPr>
              <w:snapToGrid w:val="0"/>
              <w:spacing w:line="0" w:lineRule="atLeast"/>
              <w:jc w:val="left"/>
              <w:rPr>
                <w:sz w:val="22"/>
                <w:szCs w:val="22"/>
              </w:rPr>
            </w:pPr>
            <w:r>
              <w:rPr>
                <w:rFonts w:hint="eastAsia"/>
                <w:sz w:val="22"/>
                <w:szCs w:val="22"/>
              </w:rPr>
              <w:t>■</w:t>
            </w:r>
            <w:r>
              <w:rPr>
                <w:rFonts w:hint="default" w:ascii="宋体" w:hAnsi="宋体" w:eastAsia="宋体" w:cs="Times New Roman"/>
                <w:b/>
                <w:sz w:val="21"/>
                <w:szCs w:val="21"/>
              </w:rPr>
              <w:fldChar w:fldCharType="begin"/>
            </w:r>
            <w:r>
              <w:rPr>
                <w:rFonts w:hint="default" w:ascii="宋体" w:hAnsi="宋体" w:eastAsia="宋体" w:cs="Times New Roman"/>
                <w:b/>
                <w:sz w:val="21"/>
                <w:szCs w:val="21"/>
              </w:rPr>
              <w:instrText xml:space="preserve"> HYPERLINK "https://www.so.com/link?m=bJ+i26O10TGaYZ9A58jAdvgGUSBf7B5X72Sf+ysVpSm3u1GYlvn6g8Ddgg2zVccPk6Ha5Vv/xmopqUR8JrPzOv7vy5q4shGL6jfV0A/RM5jfWeUmvZ1/vS7TyVmSSsTO8dWlasufJH7j8vWcW9x+bKYFFtBwD1LUevJ7r5z+YMhE+F6gMZLsVqdGLb9Fl9h/Q+YAbUkjPnnvp8fdLfoyu7AG1XRtKbBR75pMl9PoqWSb6j6kbPBEua3faxFDSkBsVa2eTDqqM0xtwgR6unSouerNBnEoeRAhHxQ7fow==" \t "https://www.so.com/_blank" </w:instrText>
            </w:r>
            <w:r>
              <w:rPr>
                <w:rFonts w:hint="default" w:ascii="宋体" w:hAnsi="宋体" w:eastAsia="宋体" w:cs="Times New Roman"/>
                <w:b/>
                <w:sz w:val="21"/>
                <w:szCs w:val="21"/>
              </w:rPr>
              <w:fldChar w:fldCharType="separate"/>
            </w:r>
            <w:r>
              <w:rPr>
                <w:rFonts w:hint="default" w:ascii="宋体" w:hAnsi="宋体" w:eastAsia="宋体" w:cs="Times New Roman"/>
                <w:b/>
                <w:sz w:val="21"/>
                <w:szCs w:val="21"/>
              </w:rPr>
              <w:t>RB-T 117-2014 能源管理体系</w:t>
            </w:r>
            <w:r>
              <w:rPr>
                <w:rFonts w:hint="eastAsia" w:ascii="宋体" w:hAnsi="宋体" w:eastAsia="宋体" w:cs="Times New Roman"/>
                <w:b/>
                <w:sz w:val="21"/>
                <w:szCs w:val="21"/>
                <w:lang w:val="en-US" w:eastAsia="zh-CN"/>
              </w:rPr>
              <w:t xml:space="preserve"> </w:t>
            </w:r>
            <w:r>
              <w:rPr>
                <w:rFonts w:hint="default" w:ascii="宋体" w:hAnsi="宋体" w:eastAsia="宋体" w:cs="Times New Roman"/>
                <w:b/>
                <w:sz w:val="21"/>
                <w:szCs w:val="21"/>
              </w:rPr>
              <w:t>有色金属企业认证要求</w:t>
            </w:r>
            <w:r>
              <w:rPr>
                <w:rFonts w:hint="default" w:ascii="宋体" w:hAnsi="宋体" w:eastAsia="宋体" w:cs="Times New Roman"/>
                <w:b/>
                <w:sz w:val="21"/>
                <w:szCs w:val="21"/>
              </w:rPr>
              <w:fldChar w:fldCharType="end"/>
            </w:r>
            <w:r>
              <w:rPr>
                <w:rFonts w:hint="eastAsia"/>
                <w:sz w:val="22"/>
                <w:szCs w:val="22"/>
              </w:rPr>
              <w:t xml:space="preserve">                  </w:t>
            </w:r>
          </w:p>
          <w:p>
            <w:pPr>
              <w:snapToGrid w:val="0"/>
              <w:spacing w:line="0" w:lineRule="atLeast"/>
              <w:jc w:val="left"/>
              <w:rPr>
                <w:sz w:val="22"/>
                <w:szCs w:val="22"/>
              </w:rPr>
            </w:pPr>
            <w:bookmarkStart w:id="9" w:name="H勾选"/>
            <w:r>
              <w:rPr>
                <w:rFonts w:hint="eastAsia"/>
                <w:sz w:val="22"/>
                <w:szCs w:val="22"/>
              </w:rPr>
              <w:t>□</w:t>
            </w:r>
            <w:bookmarkEnd w:id="9"/>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0" w:name="体系人数"/>
            <w:r>
              <w:rPr>
                <w:sz w:val="22"/>
                <w:szCs w:val="22"/>
              </w:rPr>
              <w:t>Q:272,E:272,O:272,EnMS:113</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3"/>
              <w:spacing w:line="400" w:lineRule="exact"/>
              <w:ind w:firstLine="0"/>
              <w:rPr>
                <w:sz w:val="22"/>
                <w:szCs w:val="22"/>
              </w:rPr>
            </w:pPr>
            <w:bookmarkStart w:id="11" w:name="初审"/>
            <w:r>
              <w:rPr>
                <w:rFonts w:hint="eastAsia"/>
                <w:b/>
                <w:color w:val="000000" w:themeColor="text1"/>
                <w:spacing w:val="-2"/>
                <w:sz w:val="21"/>
                <w:szCs w:val="21"/>
              </w:rPr>
              <w:t>□</w:t>
            </w:r>
            <w:bookmarkEnd w:id="11"/>
            <w:r>
              <w:rPr>
                <w:rFonts w:hint="eastAsia"/>
                <w:b/>
                <w:color w:val="000000" w:themeColor="text1"/>
                <w:spacing w:val="-2"/>
                <w:sz w:val="21"/>
                <w:szCs w:val="21"/>
              </w:rPr>
              <w:t>初次认证</w:t>
            </w:r>
            <w:bookmarkStart w:id="12" w:name="监督勾选"/>
            <w:r>
              <w:rPr>
                <w:rFonts w:hint="eastAsia"/>
                <w:b/>
                <w:color w:val="000000" w:themeColor="text1"/>
                <w:spacing w:val="-2"/>
                <w:sz w:val="21"/>
                <w:szCs w:val="21"/>
              </w:rPr>
              <w:t>■</w:t>
            </w:r>
            <w:bookmarkEnd w:id="12"/>
            <w:r>
              <w:rPr>
                <w:rFonts w:hint="eastAsia"/>
                <w:b/>
                <w:color w:val="000000" w:themeColor="text1"/>
                <w:spacing w:val="-2"/>
                <w:sz w:val="21"/>
                <w:szCs w:val="21"/>
              </w:rPr>
              <w:t>监督审核</w:t>
            </w:r>
            <w:bookmarkStart w:id="13" w:name="再认证勾选"/>
            <w:r>
              <w:rPr>
                <w:rFonts w:hint="eastAsia"/>
                <w:b/>
                <w:color w:val="000000" w:themeColor="text1"/>
                <w:spacing w:val="-2"/>
                <w:sz w:val="21"/>
                <w:szCs w:val="21"/>
              </w:rPr>
              <w:t>□</w:t>
            </w:r>
            <w:bookmarkEnd w:id="13"/>
            <w:r>
              <w:rPr>
                <w:rFonts w:hint="eastAsia"/>
                <w:b/>
                <w:color w:val="000000" w:themeColor="text1"/>
                <w:spacing w:val="-2"/>
                <w:sz w:val="21"/>
                <w:szCs w:val="21"/>
              </w:rPr>
              <w:t>再认证</w:t>
            </w:r>
            <w:bookmarkStart w:id="14" w:name="特殊审核勾选"/>
            <w:r>
              <w:rPr>
                <w:rFonts w:hint="eastAsia"/>
                <w:b/>
                <w:color w:val="000000" w:themeColor="text1"/>
                <w:spacing w:val="-2"/>
                <w:sz w:val="21"/>
                <w:szCs w:val="21"/>
              </w:rPr>
              <w:t>□</w:t>
            </w:r>
            <w:bookmarkEnd w:id="14"/>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5" w:name="组织名称Add1"/>
            <w:r>
              <w:rPr>
                <w:rFonts w:hint="eastAsia"/>
                <w:sz w:val="22"/>
                <w:szCs w:val="22"/>
              </w:rPr>
              <w:t>青海湘和有色金属有限责任公司</w:t>
            </w:r>
            <w:bookmarkEnd w:id="15"/>
          </w:p>
        </w:tc>
        <w:tc>
          <w:tcPr>
            <w:tcW w:w="5013" w:type="dxa"/>
            <w:gridSpan w:val="4"/>
            <w:vMerge w:val="restart"/>
          </w:tcPr>
          <w:p>
            <w:pPr>
              <w:snapToGrid w:val="0"/>
              <w:spacing w:line="0" w:lineRule="atLeast"/>
              <w:jc w:val="left"/>
              <w:rPr>
                <w:sz w:val="22"/>
                <w:szCs w:val="22"/>
              </w:rPr>
            </w:pPr>
            <w:bookmarkStart w:id="16" w:name="审核范围"/>
            <w:r>
              <w:rPr>
                <w:sz w:val="22"/>
                <w:szCs w:val="22"/>
              </w:rPr>
              <w:t>Q：锌粉、硫酸、次氧化锌的生产</w:t>
            </w:r>
          </w:p>
          <w:p>
            <w:pPr>
              <w:snapToGrid w:val="0"/>
              <w:spacing w:line="0" w:lineRule="atLeast"/>
              <w:jc w:val="left"/>
              <w:rPr>
                <w:sz w:val="22"/>
                <w:szCs w:val="22"/>
              </w:rPr>
            </w:pPr>
            <w:r>
              <w:rPr>
                <w:sz w:val="22"/>
                <w:szCs w:val="22"/>
              </w:rPr>
              <w:t>E：锌粉、硫酸、次氧化锌的生产所涉及场所的相关环境管理活动</w:t>
            </w:r>
          </w:p>
          <w:p>
            <w:pPr>
              <w:snapToGrid w:val="0"/>
              <w:spacing w:line="0" w:lineRule="atLeast"/>
              <w:jc w:val="left"/>
              <w:rPr>
                <w:sz w:val="22"/>
                <w:szCs w:val="22"/>
              </w:rPr>
            </w:pPr>
            <w:r>
              <w:rPr>
                <w:sz w:val="22"/>
                <w:szCs w:val="22"/>
              </w:rPr>
              <w:t>O：锌粉、硫酸、次氧化锌的生产所涉及场所的相关职业健康安全管理活动</w:t>
            </w:r>
          </w:p>
          <w:p>
            <w:pPr>
              <w:snapToGrid w:val="0"/>
              <w:spacing w:line="0" w:lineRule="atLeast"/>
              <w:jc w:val="left"/>
              <w:rPr>
                <w:sz w:val="22"/>
                <w:szCs w:val="22"/>
              </w:rPr>
            </w:pPr>
            <w:r>
              <w:rPr>
                <w:sz w:val="22"/>
                <w:szCs w:val="22"/>
              </w:rPr>
              <w:t>EnMS：锌粉、硫酸、次氧化锌的生产</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7" w:name="注册地址"/>
            <w:r>
              <w:rPr>
                <w:rFonts w:hint="eastAsia"/>
                <w:sz w:val="22"/>
                <w:szCs w:val="22"/>
                <w:lang w:val="en-GB"/>
              </w:rPr>
              <w:t>西宁经济技术开发区甘河工业园区</w:t>
            </w:r>
            <w:bookmarkEnd w:id="17"/>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8" w:name="办公地址"/>
            <w:r>
              <w:rPr>
                <w:rFonts w:hint="eastAsia"/>
                <w:sz w:val="22"/>
                <w:szCs w:val="22"/>
                <w:lang w:val="en-GB"/>
              </w:rPr>
              <w:t>西宁经济技术开发区甘河工业园区</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rFonts w:hint="eastAsia"/>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7"/>
              <w:spacing w:before="0" w:after="0"/>
              <w:jc w:val="left"/>
              <w:rPr>
                <w:rFonts w:cs="Arial"/>
                <w:b/>
                <w:bCs/>
                <w:sz w:val="22"/>
                <w:szCs w:val="22"/>
              </w:rPr>
            </w:pPr>
            <w:r>
              <w:rPr>
                <w:rFonts w:hint="eastAsia" w:cs="Arial"/>
                <w:b/>
                <w:bCs/>
                <w:sz w:val="22"/>
                <w:szCs w:val="22"/>
              </w:rPr>
              <w:t>公司名称 - 总部</w:t>
            </w:r>
          </w:p>
          <w:p>
            <w:pPr>
              <w:pStyle w:val="17"/>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HQ</w:t>
            </w:r>
          </w:p>
          <w:p>
            <w:pPr>
              <w:pStyle w:val="17"/>
              <w:spacing w:before="0" w:after="0"/>
              <w:jc w:val="left"/>
              <w:rPr>
                <w:rFonts w:cs="Arial"/>
                <w:b/>
                <w:bCs/>
                <w:sz w:val="22"/>
                <w:szCs w:val="22"/>
              </w:rPr>
            </w:pPr>
            <w:r>
              <w:rPr>
                <w:rFonts w:cs="Arial"/>
                <w:b/>
                <w:bCs/>
                <w:sz w:val="22"/>
                <w:szCs w:val="22"/>
              </w:rPr>
              <w:t>Registration Address:</w:t>
            </w:r>
          </w:p>
          <w:p>
            <w:pPr>
              <w:pStyle w:val="17"/>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7"/>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7"/>
              <w:spacing w:before="0" w:after="0"/>
              <w:jc w:val="left"/>
              <w:rPr>
                <w:rFonts w:cs="Arial"/>
                <w:b/>
                <w:bCs/>
                <w:sz w:val="22"/>
                <w:szCs w:val="22"/>
              </w:rPr>
            </w:pPr>
            <w:r>
              <w:rPr>
                <w:rFonts w:hint="eastAsia" w:cs="Arial"/>
                <w:b/>
                <w:bCs/>
                <w:sz w:val="22"/>
                <w:szCs w:val="22"/>
              </w:rPr>
              <w:t>注册地址：</w:t>
            </w:r>
          </w:p>
          <w:p>
            <w:pPr>
              <w:pStyle w:val="17"/>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7"/>
              <w:spacing w:before="0" w:after="0"/>
              <w:jc w:val="left"/>
              <w:rPr>
                <w:rFonts w:cs="Arial"/>
                <w:b/>
                <w:bCs/>
                <w:sz w:val="22"/>
                <w:szCs w:val="22"/>
              </w:rPr>
            </w:pPr>
            <w:r>
              <w:rPr>
                <w:rFonts w:cs="Arial"/>
                <w:b/>
                <w:bCs/>
                <w:sz w:val="22"/>
                <w:szCs w:val="22"/>
              </w:rPr>
              <w:t>Registration Address:</w:t>
            </w:r>
          </w:p>
          <w:p>
            <w:pPr>
              <w:pStyle w:val="17"/>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7"/>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7"/>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7"/>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3"/>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3"/>
        <w:spacing w:line="400" w:lineRule="exact"/>
        <w:ind w:firstLine="0"/>
        <w:rPr>
          <w:b/>
          <w:color w:val="000000" w:themeColor="text1"/>
          <w:sz w:val="22"/>
          <w:szCs w:val="22"/>
        </w:rPr>
      </w:pPr>
      <w:r>
        <w:rPr>
          <w:rFonts w:hint="eastAsia"/>
          <w:b/>
          <w:color w:val="000000" w:themeColor="text1"/>
          <w:sz w:val="22"/>
          <w:szCs w:val="22"/>
        </w:rPr>
        <w:t>获证组织名称：</w:t>
      </w:r>
      <w:bookmarkStart w:id="19" w:name="组织名称Add2"/>
      <w:r>
        <w:rPr>
          <w:rFonts w:hint="eastAsia"/>
          <w:b/>
          <w:color w:val="000000" w:themeColor="text1"/>
          <w:sz w:val="22"/>
          <w:szCs w:val="22"/>
        </w:rPr>
        <w:t>青海湘和有色金属有限责任公司</w:t>
      </w:r>
      <w:bookmarkEnd w:id="19"/>
      <w:r>
        <w:rPr>
          <w:rFonts w:hint="eastAsia"/>
          <w:b/>
          <w:color w:val="000000" w:themeColor="text1"/>
          <w:sz w:val="22"/>
          <w:szCs w:val="22"/>
          <w:lang w:val="en-US" w:eastAsia="zh-CN"/>
        </w:rPr>
        <w:t xml:space="preserve">        </w:t>
      </w:r>
      <w:r>
        <w:rPr>
          <w:rFonts w:hint="eastAsia"/>
          <w:b/>
          <w:color w:val="000000" w:themeColor="text1"/>
          <w:sz w:val="22"/>
          <w:szCs w:val="22"/>
        </w:rPr>
        <w:t>证书注册号：</w:t>
      </w:r>
      <w:bookmarkStart w:id="20" w:name="证书编号Add1"/>
      <w:r>
        <w:rPr>
          <w:b/>
          <w:color w:val="000000" w:themeColor="text1"/>
          <w:sz w:val="22"/>
          <w:szCs w:val="22"/>
        </w:rPr>
        <w:t>Q:,E:,O:,EnMS:</w:t>
      </w:r>
      <w:bookmarkEnd w:id="20"/>
    </w:p>
    <w:p>
      <w:pPr>
        <w:pStyle w:val="3"/>
        <w:spacing w:line="400" w:lineRule="exact"/>
        <w:ind w:firstLine="0"/>
        <w:rPr>
          <w:b/>
          <w:color w:val="000000" w:themeColor="text1"/>
          <w:sz w:val="22"/>
          <w:szCs w:val="22"/>
        </w:rPr>
      </w:pPr>
      <w:r>
        <w:rPr>
          <w:rFonts w:hint="eastAsia"/>
          <w:b/>
          <w:color w:val="000000" w:themeColor="text1"/>
          <w:sz w:val="22"/>
          <w:szCs w:val="22"/>
        </w:rPr>
        <w:t>获证组织地址：</w:t>
      </w:r>
      <w:bookmarkStart w:id="21" w:name="生产地址"/>
      <w:r>
        <w:rPr>
          <w:b/>
          <w:color w:val="000000" w:themeColor="text1"/>
          <w:sz w:val="22"/>
          <w:szCs w:val="22"/>
        </w:rPr>
        <w:t>西宁经济技术开发区甘河工业园区</w:t>
      </w:r>
      <w:bookmarkEnd w:id="21"/>
    </w:p>
    <w:p>
      <w:pPr>
        <w:pStyle w:val="3"/>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3"/>
        <w:spacing w:line="400" w:lineRule="exact"/>
        <w:ind w:firstLine="1546" w:firstLineChars="700"/>
        <w:rPr>
          <w:b/>
          <w:color w:val="000000" w:themeColor="text1"/>
          <w:sz w:val="22"/>
          <w:szCs w:val="22"/>
        </w:rPr>
      </w:pPr>
      <w:r>
        <w:rPr>
          <w:rFonts w:hint="eastAsia"/>
          <w:b/>
          <w:color w:val="000000" w:themeColor="text1"/>
          <w:sz w:val="22"/>
          <w:szCs w:val="22"/>
        </w:rPr>
        <w:t>&amp;</w:t>
      </w:r>
      <w:r>
        <w:rPr>
          <w:rFonts w:hint="default" w:ascii="宋体" w:hAnsi="宋体" w:eastAsia="宋体" w:cs="Times New Roman"/>
          <w:b/>
          <w:sz w:val="21"/>
          <w:szCs w:val="21"/>
        </w:rPr>
        <w:fldChar w:fldCharType="begin"/>
      </w:r>
      <w:r>
        <w:rPr>
          <w:rFonts w:hint="default" w:ascii="宋体" w:hAnsi="宋体" w:eastAsia="宋体" w:cs="Times New Roman"/>
          <w:b/>
          <w:sz w:val="21"/>
          <w:szCs w:val="21"/>
        </w:rPr>
        <w:instrText xml:space="preserve"> HYPERLINK "https://www.so.com/link?m=bJ+i26O10TGaYZ9A58jAdvgGUSBf7B5X72Sf+ysVpSm3u1GYlvn6g8Ddgg2zVccPk6Ha5Vv/xmopqUR8JrPzOv7vy5q4shGL6jfV0A/RM5jfWeUmvZ1/vS7TyVmSSsTO8dWlasufJH7j8vWcW9x+bKYFFtBwD1LUevJ7r5z+YMhE+F6gMZLsVqdGLb9Fl9h/Q+YAbUkjPnnvp8fdLfoyu7AG1XRtKbBR75pMl9PoqWSb6j6kbPBEua3faxFDSkBsVa2eTDqqM0xtwgR6unSouerNBnEoeRAhHxQ7fow==" \t "https://www.so.com/_blank" </w:instrText>
      </w:r>
      <w:r>
        <w:rPr>
          <w:rFonts w:hint="default" w:ascii="宋体" w:hAnsi="宋体" w:eastAsia="宋体" w:cs="Times New Roman"/>
          <w:b/>
          <w:sz w:val="21"/>
          <w:szCs w:val="21"/>
        </w:rPr>
        <w:fldChar w:fldCharType="separate"/>
      </w:r>
      <w:r>
        <w:rPr>
          <w:rFonts w:hint="default" w:ascii="宋体" w:hAnsi="宋体" w:eastAsia="宋体" w:cs="Times New Roman"/>
          <w:b/>
          <w:sz w:val="21"/>
          <w:szCs w:val="21"/>
        </w:rPr>
        <w:t>RB-T 117-2014 能源管理体系</w:t>
      </w:r>
      <w:r>
        <w:rPr>
          <w:rFonts w:hint="eastAsia" w:ascii="宋体" w:hAnsi="宋体" w:eastAsia="宋体" w:cs="Times New Roman"/>
          <w:b/>
          <w:sz w:val="21"/>
          <w:szCs w:val="21"/>
          <w:lang w:val="en-US" w:eastAsia="zh-CN"/>
        </w:rPr>
        <w:t xml:space="preserve"> </w:t>
      </w:r>
      <w:r>
        <w:rPr>
          <w:rFonts w:hint="default" w:ascii="宋体" w:hAnsi="宋体" w:eastAsia="宋体" w:cs="Times New Roman"/>
          <w:b/>
          <w:sz w:val="21"/>
          <w:szCs w:val="21"/>
        </w:rPr>
        <w:t>有色金属企业认证要求</w:t>
      </w:r>
      <w:r>
        <w:rPr>
          <w:rFonts w:hint="default" w:ascii="宋体" w:hAnsi="宋体" w:eastAsia="宋体" w:cs="Times New Roman"/>
          <w:b/>
          <w:sz w:val="21"/>
          <w:szCs w:val="21"/>
        </w:rPr>
        <w:fldChar w:fldCharType="end"/>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初次审核</w:t>
            </w:r>
          </w:p>
          <w:p>
            <w:pPr>
              <w:pStyle w:val="3"/>
              <w:spacing w:line="400" w:lineRule="exact"/>
              <w:ind w:firstLine="0"/>
              <w:rPr>
                <w:sz w:val="20"/>
                <w:szCs w:val="22"/>
              </w:rPr>
            </w:pPr>
            <w:r>
              <w:rPr>
                <w:rFonts w:hint="eastAsia"/>
                <w:sz w:val="20"/>
                <w:szCs w:val="22"/>
                <w:u w:val="single"/>
              </w:rPr>
              <w:t>2021</w:t>
            </w:r>
            <w:r>
              <w:rPr>
                <w:rFonts w:hint="eastAsia"/>
                <w:sz w:val="20"/>
                <w:szCs w:val="22"/>
              </w:rPr>
              <w:t>年</w:t>
            </w:r>
            <w:r>
              <w:rPr>
                <w:rFonts w:hint="eastAsia"/>
                <w:sz w:val="20"/>
                <w:szCs w:val="22"/>
                <w:u w:val="single"/>
                <w:lang w:val="en-US" w:eastAsia="zh-CN"/>
              </w:rPr>
              <w:t>3</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eastAsia="仿宋"/>
                <w:sz w:val="20"/>
                <w:szCs w:val="22"/>
                <w:lang w:val="en-US" w:eastAsia="zh-CN"/>
              </w:rPr>
              <w:t>19</w:t>
            </w:r>
            <w:r>
              <w:rPr>
                <w:rFonts w:hint="eastAsia" w:ascii="仿宋" w:hAnsi="仿宋" w:eastAsia="仿宋" w:cs="仿宋"/>
                <w:sz w:val="20"/>
                <w:szCs w:val="22"/>
              </w:rPr>
              <w:t>～</w:t>
            </w:r>
            <w:r>
              <w:rPr>
                <w:rFonts w:hint="eastAsia"/>
                <w:sz w:val="20"/>
                <w:szCs w:val="22"/>
              </w:rPr>
              <w:t>2</w:t>
            </w:r>
            <w:r>
              <w:rPr>
                <w:rFonts w:hint="eastAsia"/>
                <w:sz w:val="20"/>
                <w:szCs w:val="22"/>
                <w:lang w:val="en-US" w:eastAsia="zh-CN"/>
              </w:rPr>
              <w:t>4</w:t>
            </w:r>
            <w:r>
              <w:rPr>
                <w:rFonts w:hint="eastAsia"/>
                <w:sz w:val="20"/>
                <w:szCs w:val="22"/>
              </w:rPr>
              <w:t>日</w:t>
            </w:r>
          </w:p>
        </w:tc>
        <w:tc>
          <w:tcPr>
            <w:tcW w:w="4735" w:type="dxa"/>
            <w:vAlign w:val="top"/>
          </w:tcPr>
          <w:p>
            <w:pPr>
              <w:rPr>
                <w:sz w:val="20"/>
                <w:szCs w:val="22"/>
              </w:rPr>
            </w:pPr>
            <w:r>
              <w:rPr>
                <w:rFonts w:hint="eastAsia"/>
                <w:b/>
                <w:bCs/>
                <w:sz w:val="20"/>
                <w:szCs w:val="22"/>
              </w:rPr>
              <w:t>能耗统计期：</w:t>
            </w:r>
          </w:p>
          <w:p>
            <w:pPr>
              <w:pStyle w:val="3"/>
              <w:spacing w:line="400" w:lineRule="exact"/>
              <w:ind w:firstLine="0" w:firstLineChars="0"/>
              <w:rPr>
                <w:rFonts w:ascii="宋体" w:hAnsi="宋体"/>
                <w:b/>
                <w:color w:val="000000" w:themeColor="text1"/>
                <w:szCs w:val="24"/>
              </w:rPr>
            </w:pPr>
            <w:r>
              <w:rPr>
                <w:rFonts w:hint="eastAsia"/>
                <w:sz w:val="20"/>
                <w:szCs w:val="22"/>
                <w:u w:val="single"/>
              </w:rPr>
              <w:t>2020</w:t>
            </w:r>
            <w:r>
              <w:rPr>
                <w:rFonts w:hint="eastAsia"/>
                <w:sz w:val="20"/>
                <w:szCs w:val="22"/>
              </w:rPr>
              <w:t>年</w:t>
            </w:r>
            <w:r>
              <w:rPr>
                <w:rFonts w:hint="eastAsia"/>
                <w:sz w:val="20"/>
                <w:szCs w:val="22"/>
                <w:u w:val="single"/>
              </w:rPr>
              <w:t>1</w:t>
            </w:r>
            <w:r>
              <w:rPr>
                <w:rFonts w:hint="eastAsia"/>
                <w:sz w:val="20"/>
                <w:szCs w:val="22"/>
              </w:rPr>
              <w:t>月至</w:t>
            </w:r>
            <w:r>
              <w:rPr>
                <w:rFonts w:hint="eastAsia"/>
                <w:sz w:val="20"/>
                <w:szCs w:val="22"/>
                <w:u w:val="single"/>
              </w:rPr>
              <w:t>2020</w:t>
            </w:r>
            <w:r>
              <w:rPr>
                <w:rFonts w:hint="eastAsia"/>
                <w:sz w:val="20"/>
                <w:szCs w:val="22"/>
              </w:rPr>
              <w:t>年</w:t>
            </w:r>
            <w:r>
              <w:rPr>
                <w:rFonts w:hint="eastAsia"/>
                <w:sz w:val="20"/>
                <w:szCs w:val="22"/>
                <w:u w:val="single"/>
              </w:rPr>
              <w:t>12</w:t>
            </w:r>
            <w:r>
              <w:rPr>
                <w:rFonts w:hint="eastAsia"/>
                <w:sz w:val="20"/>
                <w:szCs w:val="22"/>
              </w:rPr>
              <w:t>月</w:t>
            </w:r>
            <w:r>
              <w:rPr>
                <w:rFonts w:hint="eastAsia"/>
                <w:sz w:val="20"/>
                <w:szCs w:val="22"/>
                <w:u w:val="single"/>
              </w:rPr>
              <w:t>31</w:t>
            </w:r>
            <w:r>
              <w:rPr>
                <w:rFonts w:hint="eastAsia"/>
                <w:sz w:val="20"/>
                <w:szCs w:val="22"/>
              </w:rPr>
              <w:t>日</w:t>
            </w:r>
          </w:p>
        </w:tc>
        <w:tc>
          <w:tcPr>
            <w:tcW w:w="2835" w:type="dxa"/>
            <w:vMerge w:val="restart"/>
          </w:tcPr>
          <w:p>
            <w:pPr>
              <w:rPr>
                <w:rFonts w:hint="eastAsia" w:ascii="宋体" w:hAnsi="宋体" w:eastAsia="宋体" w:cs="Times New Roman"/>
                <w:sz w:val="21"/>
                <w:szCs w:val="21"/>
                <w:lang w:val="en-US" w:eastAsia="zh-CN"/>
              </w:rPr>
            </w:pPr>
            <w:r>
              <w:rPr>
                <w:rFonts w:hint="eastAsia" w:ascii="Times New Roman" w:hAnsi="Times New Roman" w:eastAsia="宋体" w:cs="Times New Roman"/>
                <w:b/>
                <w:color w:val="000000" w:themeColor="text1"/>
                <w:sz w:val="22"/>
                <w:szCs w:val="22"/>
                <w:lang w:val="en-US" w:eastAsia="zh-CN"/>
              </w:rPr>
              <w:t>边界：</w:t>
            </w:r>
            <w:r>
              <w:rPr>
                <w:rFonts w:hint="eastAsia" w:ascii="宋体" w:hAnsi="宋体" w:eastAsia="宋体" w:cs="Times New Roman"/>
                <w:sz w:val="21"/>
                <w:szCs w:val="21"/>
                <w:lang w:val="en-US" w:eastAsia="zh-CN"/>
              </w:rPr>
              <w:t>位于西宁经济技术开发区甘河工业园区的青海湘和有色金属有限责任公司</w:t>
            </w:r>
          </w:p>
          <w:p>
            <w:pPr>
              <w:rPr>
                <w:rFonts w:hint="eastAsia" w:ascii="宋体" w:hAnsi="宋体" w:eastAsia="宋体" w:cs="Times New Roman"/>
                <w:sz w:val="21"/>
                <w:szCs w:val="21"/>
                <w:lang w:val="en-US" w:eastAsia="zh-CN"/>
              </w:rPr>
            </w:pPr>
          </w:p>
          <w:p>
            <w:pPr>
              <w:rPr>
                <w:rFonts w:hint="eastAsia" w:ascii="宋体" w:hAnsi="宋体" w:eastAsia="宋体" w:cs="Times New Roman"/>
                <w:sz w:val="21"/>
                <w:szCs w:val="21"/>
                <w:lang w:val="en-US" w:eastAsia="zh-CN"/>
              </w:rPr>
            </w:pPr>
            <w:r>
              <w:rPr>
                <w:rFonts w:hint="eastAsia" w:ascii="Times New Roman" w:hAnsi="Times New Roman" w:eastAsia="宋体" w:cs="Times New Roman"/>
                <w:b/>
                <w:color w:val="000000" w:themeColor="text1"/>
                <w:sz w:val="22"/>
                <w:szCs w:val="22"/>
                <w:lang w:val="en-US" w:eastAsia="zh-CN"/>
              </w:rPr>
              <w:t>主要生产系统：</w:t>
            </w:r>
            <w:r>
              <w:rPr>
                <w:rFonts w:hint="eastAsia" w:ascii="宋体" w:hAnsi="宋体" w:eastAsia="宋体" w:cs="Times New Roman"/>
                <w:sz w:val="21"/>
                <w:szCs w:val="21"/>
                <w:lang w:val="en-US" w:eastAsia="zh-CN"/>
              </w:rPr>
              <w:t>锌粉车间和熔炼车间。</w:t>
            </w:r>
          </w:p>
          <w:p>
            <w:pPr>
              <w:rPr>
                <w:rFonts w:hint="eastAsia" w:ascii="宋体" w:hAnsi="宋体" w:eastAsia="宋体" w:cs="Times New Roman"/>
                <w:sz w:val="21"/>
                <w:szCs w:val="21"/>
                <w:lang w:val="en-US" w:eastAsia="zh-CN"/>
              </w:rPr>
            </w:pPr>
            <w:r>
              <w:rPr>
                <w:rFonts w:hint="eastAsia" w:ascii="Times New Roman" w:hAnsi="Times New Roman" w:eastAsia="宋体" w:cs="Times New Roman"/>
                <w:b/>
                <w:color w:val="000000" w:themeColor="text1"/>
                <w:sz w:val="22"/>
                <w:szCs w:val="22"/>
                <w:lang w:val="en-US" w:eastAsia="zh-CN"/>
              </w:rPr>
              <w:t>辅助生产系统：</w:t>
            </w:r>
            <w:r>
              <w:rPr>
                <w:rFonts w:hint="eastAsia" w:ascii="宋体" w:hAnsi="宋体" w:eastAsia="宋体" w:cs="Times New Roman"/>
                <w:sz w:val="21"/>
                <w:szCs w:val="21"/>
                <w:lang w:val="en-US" w:eastAsia="zh-CN"/>
              </w:rPr>
              <w:t>质量工艺技术部、购销管理部、生产技术部、安全环保部；设备能源部、财务管理部。</w:t>
            </w:r>
          </w:p>
          <w:p>
            <w:pPr>
              <w:pStyle w:val="3"/>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sz w:val="20"/>
                <w:szCs w:val="22"/>
              </w:rPr>
            </w:pPr>
          </w:p>
        </w:tc>
        <w:tc>
          <w:tcPr>
            <w:tcW w:w="4735" w:type="dxa"/>
            <w:vAlign w:val="top"/>
          </w:tcPr>
          <w:p>
            <w:pPr>
              <w:pStyle w:val="3"/>
              <w:spacing w:line="320" w:lineRule="exact"/>
              <w:ind w:firstLine="0" w:firstLineChars="0"/>
              <w:rPr>
                <w:rFonts w:ascii="宋体" w:hAnsi="宋体"/>
                <w:b/>
                <w:color w:val="000000" w:themeColor="text1"/>
                <w:szCs w:val="24"/>
              </w:rPr>
            </w:pPr>
            <w:r>
              <w:rPr>
                <w:rFonts w:hint="eastAsia"/>
                <w:b/>
                <w:bCs/>
                <w:color w:val="000000"/>
                <w:sz w:val="20"/>
                <w:szCs w:val="22"/>
              </w:rPr>
              <w:t>产量或产值：</w:t>
            </w:r>
            <w:r>
              <w:rPr>
                <w:rFonts w:hint="eastAsia"/>
                <w:b/>
                <w:bCs/>
                <w:color w:val="000000"/>
                <w:sz w:val="20"/>
                <w:szCs w:val="22"/>
                <w:u w:val="single"/>
              </w:rPr>
              <w:t xml:space="preserve"> 尾渣处理量</w:t>
            </w:r>
            <w:r>
              <w:rPr>
                <w:rFonts w:hint="eastAsia"/>
                <w:b/>
                <w:bCs/>
                <w:color w:val="000000"/>
                <w:sz w:val="20"/>
                <w:szCs w:val="22"/>
                <w:u w:val="single"/>
                <w:lang w:val="en-US" w:eastAsia="zh-CN"/>
              </w:rPr>
              <w:t>86105.306 t，锌粉产量4968.13</w:t>
            </w:r>
            <w:r>
              <w:rPr>
                <w:rFonts w:hint="eastAsia"/>
                <w:b/>
                <w:bCs/>
                <w:color w:val="000000"/>
                <w:sz w:val="20"/>
                <w:szCs w:val="22"/>
                <w:u w:val="single"/>
              </w:rPr>
              <w:t xml:space="preserve"> </w:t>
            </w:r>
            <w:r>
              <w:rPr>
                <w:b/>
                <w:bCs/>
                <w:color w:val="000000"/>
                <w:sz w:val="20"/>
                <w:szCs w:val="22"/>
              </w:rPr>
              <w:t>t</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3"/>
              <w:spacing w:line="400" w:lineRule="exact"/>
              <w:ind w:firstLine="0"/>
              <w:rPr>
                <w:sz w:val="20"/>
                <w:szCs w:val="22"/>
              </w:rPr>
            </w:pPr>
          </w:p>
        </w:tc>
        <w:tc>
          <w:tcPr>
            <w:tcW w:w="4735" w:type="dxa"/>
            <w:vAlign w:val="top"/>
          </w:tcPr>
          <w:p>
            <w:pPr>
              <w:pStyle w:val="3"/>
              <w:spacing w:line="320" w:lineRule="exact"/>
              <w:ind w:firstLine="0"/>
              <w:rPr>
                <w:b/>
                <w:bCs/>
                <w:color w:val="000000"/>
                <w:sz w:val="20"/>
                <w:szCs w:val="22"/>
              </w:rPr>
            </w:pPr>
            <w:r>
              <w:rPr>
                <w:rFonts w:hint="eastAsia"/>
                <w:b/>
                <w:bCs/>
                <w:color w:val="000000"/>
                <w:sz w:val="20"/>
                <w:szCs w:val="22"/>
                <w:lang w:val="zh-CN"/>
              </w:rPr>
              <w:t>综合能耗：</w:t>
            </w:r>
            <w:r>
              <w:rPr>
                <w:rFonts w:hint="eastAsia"/>
                <w:b/>
                <w:bCs/>
                <w:color w:val="000000"/>
                <w:sz w:val="20"/>
                <w:szCs w:val="22"/>
                <w:u w:val="single"/>
                <w:lang w:val="en-US" w:eastAsia="zh-CN"/>
              </w:rPr>
              <w:t>38310630</w:t>
            </w:r>
            <w:r>
              <w:rPr>
                <w:rFonts w:hint="eastAsia"/>
                <w:b/>
                <w:bCs/>
                <w:color w:val="000000"/>
                <w:sz w:val="20"/>
                <w:szCs w:val="22"/>
                <w:u w:val="single"/>
              </w:rPr>
              <w:t xml:space="preserve"> </w:t>
            </w:r>
            <w:r>
              <w:rPr>
                <w:rFonts w:hint="eastAsia"/>
                <w:b/>
                <w:bCs/>
                <w:color w:val="000000"/>
                <w:sz w:val="20"/>
                <w:szCs w:val="22"/>
              </w:rPr>
              <w:t xml:space="preserve"> Kgce </w:t>
            </w:r>
          </w:p>
          <w:p>
            <w:pPr>
              <w:pStyle w:val="3"/>
              <w:spacing w:line="320" w:lineRule="exact"/>
              <w:ind w:firstLine="0" w:firstLineChars="0"/>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3"/>
              <w:spacing w:line="400" w:lineRule="exact"/>
              <w:ind w:firstLine="0"/>
              <w:rPr>
                <w:sz w:val="20"/>
                <w:szCs w:val="22"/>
              </w:rPr>
            </w:pPr>
          </w:p>
        </w:tc>
        <w:tc>
          <w:tcPr>
            <w:tcW w:w="4735" w:type="dxa"/>
            <w:vAlign w:val="top"/>
          </w:tcPr>
          <w:p>
            <w:pPr>
              <w:rPr>
                <w:color w:val="000000"/>
                <w:sz w:val="20"/>
                <w:szCs w:val="22"/>
              </w:rPr>
            </w:pPr>
            <w:r>
              <w:rPr>
                <w:rFonts w:hint="eastAsia"/>
                <w:b/>
                <w:bCs/>
                <w:color w:val="000000"/>
                <w:sz w:val="20"/>
                <w:szCs w:val="22"/>
              </w:rPr>
              <w:t xml:space="preserve">单位能耗： </w:t>
            </w:r>
            <w:r>
              <w:rPr>
                <w:rFonts w:hint="eastAsia"/>
                <w:b/>
                <w:bCs/>
                <w:color w:val="000000"/>
                <w:sz w:val="20"/>
                <w:szCs w:val="22"/>
                <w:u w:val="single"/>
              </w:rPr>
              <w:t>尾渣处理</w:t>
            </w:r>
            <w:r>
              <w:rPr>
                <w:rFonts w:hint="eastAsia"/>
                <w:b/>
                <w:bCs/>
                <w:color w:val="000000"/>
                <w:sz w:val="20"/>
                <w:szCs w:val="22"/>
                <w:u w:val="single"/>
                <w:lang w:eastAsia="zh-CN"/>
              </w:rPr>
              <w:t>单位综合能耗</w:t>
            </w:r>
            <w:r>
              <w:rPr>
                <w:rFonts w:hint="eastAsia"/>
                <w:b/>
                <w:bCs/>
                <w:color w:val="000000"/>
                <w:sz w:val="20"/>
                <w:szCs w:val="22"/>
                <w:u w:val="single"/>
                <w:lang w:val="en-US" w:eastAsia="zh-CN"/>
              </w:rPr>
              <w:t>413.97</w:t>
            </w:r>
            <w:r>
              <w:rPr>
                <w:b/>
                <w:bCs/>
                <w:color w:val="000000"/>
                <w:sz w:val="20"/>
                <w:szCs w:val="22"/>
                <w:u w:val="single"/>
              </w:rPr>
              <w:t>Kgce/</w:t>
            </w:r>
            <w:r>
              <w:rPr>
                <w:rFonts w:hint="eastAsia"/>
                <w:b/>
                <w:bCs/>
                <w:color w:val="000000"/>
                <w:sz w:val="20"/>
                <w:szCs w:val="22"/>
                <w:u w:val="single"/>
                <w:lang w:val="en-US" w:eastAsia="zh-CN"/>
              </w:rPr>
              <w:t xml:space="preserve"> t，锌粉单位综合能耗534.09 </w:t>
            </w:r>
            <w:r>
              <w:rPr>
                <w:b/>
                <w:bCs/>
                <w:color w:val="000000"/>
                <w:sz w:val="20"/>
                <w:szCs w:val="22"/>
              </w:rPr>
              <w:t>Kgce/t</w:t>
            </w:r>
            <w:r>
              <w:rPr>
                <w:rFonts w:hint="eastAsia"/>
                <w:b/>
                <w:bCs/>
                <w:color w:val="000000"/>
                <w:sz w:val="20"/>
                <w:szCs w:val="22"/>
              </w:rPr>
              <w:t>；</w:t>
            </w:r>
          </w:p>
          <w:p>
            <w:pPr>
              <w:pStyle w:val="2"/>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3"/>
              <w:spacing w:line="400" w:lineRule="exact"/>
              <w:ind w:firstLine="0"/>
              <w:rPr>
                <w:sz w:val="20"/>
                <w:szCs w:val="22"/>
              </w:rPr>
            </w:pPr>
          </w:p>
        </w:tc>
        <w:tc>
          <w:tcPr>
            <w:tcW w:w="4735" w:type="dxa"/>
            <w:vAlign w:val="top"/>
          </w:tcPr>
          <w:p>
            <w:pPr>
              <w:rPr>
                <w:sz w:val="20"/>
                <w:szCs w:val="22"/>
              </w:rPr>
            </w:pPr>
            <w:r>
              <w:rPr>
                <w:rFonts w:hint="eastAsia"/>
                <w:b/>
                <w:bCs/>
                <w:sz w:val="20"/>
                <w:szCs w:val="22"/>
              </w:rPr>
              <w:t>节能量（万吨标准煤）：</w:t>
            </w:r>
          </w:p>
          <w:p>
            <w:pPr>
              <w:rPr>
                <w:sz w:val="20"/>
                <w:szCs w:val="22"/>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第一次监督审核</w:t>
            </w:r>
          </w:p>
          <w:p>
            <w:pPr>
              <w:pStyle w:val="3"/>
              <w:spacing w:line="400" w:lineRule="exact"/>
              <w:ind w:firstLine="0"/>
              <w:rPr>
                <w:sz w:val="20"/>
                <w:szCs w:val="22"/>
              </w:rPr>
            </w:pP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u w:val="single"/>
                <w:lang w:val="en-US" w:eastAsia="zh-CN"/>
              </w:rPr>
              <w:t>08</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lang w:val="en-US" w:eastAsia="zh-CN"/>
              </w:rPr>
              <w:t>25</w:t>
            </w:r>
            <w:r>
              <w:rPr>
                <w:rFonts w:hint="eastAsia"/>
                <w:sz w:val="20"/>
                <w:szCs w:val="22"/>
                <w:u w:val="single"/>
              </w:rPr>
              <w:t>~</w:t>
            </w:r>
            <w:r>
              <w:rPr>
                <w:rFonts w:hint="eastAsia"/>
                <w:sz w:val="20"/>
                <w:szCs w:val="22"/>
                <w:u w:val="single"/>
                <w:lang w:val="en-US" w:eastAsia="zh-CN"/>
              </w:rPr>
              <w:t>27</w:t>
            </w:r>
            <w:r>
              <w:rPr>
                <w:rFonts w:hint="eastAsia"/>
                <w:sz w:val="20"/>
                <w:szCs w:val="22"/>
              </w:rPr>
              <w:t>日</w:t>
            </w:r>
          </w:p>
        </w:tc>
        <w:tc>
          <w:tcPr>
            <w:tcW w:w="4735" w:type="dxa"/>
            <w:vAlign w:val="top"/>
          </w:tcPr>
          <w:p>
            <w:pPr>
              <w:rPr>
                <w:sz w:val="20"/>
                <w:szCs w:val="22"/>
              </w:rPr>
            </w:pPr>
            <w:r>
              <w:rPr>
                <w:rFonts w:hint="eastAsia"/>
                <w:b/>
                <w:bCs/>
                <w:sz w:val="20"/>
                <w:szCs w:val="22"/>
              </w:rPr>
              <w:t>能耗统计期：</w:t>
            </w:r>
          </w:p>
          <w:p>
            <w:pPr>
              <w:pStyle w:val="3"/>
              <w:spacing w:line="400" w:lineRule="exact"/>
              <w:ind w:firstLine="0" w:firstLineChars="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w:t>
            </w:r>
            <w:r>
              <w:rPr>
                <w:rFonts w:hint="eastAsia"/>
                <w:sz w:val="20"/>
                <w:szCs w:val="22"/>
              </w:rPr>
              <w:t>月至</w:t>
            </w: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rPr>
                <w:rFonts w:hint="eastAsia" w:ascii="宋体" w:hAnsi="宋体" w:eastAsia="宋体" w:cs="Times New Roman"/>
                <w:sz w:val="21"/>
                <w:szCs w:val="21"/>
                <w:lang w:val="en-US" w:eastAsia="zh-CN"/>
              </w:rPr>
            </w:pPr>
            <w:r>
              <w:rPr>
                <w:rFonts w:hint="eastAsia" w:ascii="Times New Roman" w:hAnsi="Times New Roman" w:eastAsia="宋体" w:cs="Times New Roman"/>
                <w:b/>
                <w:color w:val="000000" w:themeColor="text1"/>
                <w:sz w:val="22"/>
                <w:szCs w:val="22"/>
                <w:lang w:val="en-US" w:eastAsia="zh-CN"/>
              </w:rPr>
              <w:t>边界：</w:t>
            </w:r>
            <w:r>
              <w:rPr>
                <w:rFonts w:hint="eastAsia" w:ascii="宋体" w:hAnsi="宋体" w:eastAsia="宋体" w:cs="Times New Roman"/>
                <w:sz w:val="21"/>
                <w:szCs w:val="21"/>
                <w:lang w:val="en-US" w:eastAsia="zh-CN"/>
              </w:rPr>
              <w:t>位于西宁经济技术开发区甘河工业园区的青海湘和有色金属有限责任公司</w:t>
            </w:r>
          </w:p>
          <w:p>
            <w:pPr>
              <w:rPr>
                <w:rFonts w:hint="eastAsia" w:ascii="宋体" w:hAnsi="宋体" w:eastAsia="宋体" w:cs="Times New Roman"/>
                <w:sz w:val="21"/>
                <w:szCs w:val="21"/>
                <w:lang w:val="en-US" w:eastAsia="zh-CN"/>
              </w:rPr>
            </w:pPr>
          </w:p>
          <w:p>
            <w:pPr>
              <w:rPr>
                <w:rFonts w:hint="eastAsia" w:ascii="宋体" w:hAnsi="宋体" w:eastAsia="宋体" w:cs="Times New Roman"/>
                <w:sz w:val="21"/>
                <w:szCs w:val="21"/>
                <w:lang w:val="en-US" w:eastAsia="zh-CN"/>
              </w:rPr>
            </w:pPr>
            <w:r>
              <w:rPr>
                <w:rFonts w:hint="eastAsia" w:ascii="Times New Roman" w:hAnsi="Times New Roman" w:eastAsia="宋体" w:cs="Times New Roman"/>
                <w:b/>
                <w:color w:val="000000" w:themeColor="text1"/>
                <w:sz w:val="22"/>
                <w:szCs w:val="22"/>
                <w:lang w:val="en-US" w:eastAsia="zh-CN"/>
              </w:rPr>
              <w:t>主要生产系统：</w:t>
            </w:r>
            <w:r>
              <w:rPr>
                <w:rFonts w:hint="eastAsia" w:ascii="宋体" w:hAnsi="宋体" w:eastAsia="宋体" w:cs="Times New Roman"/>
                <w:sz w:val="21"/>
                <w:szCs w:val="21"/>
                <w:lang w:val="en-US" w:eastAsia="zh-CN"/>
              </w:rPr>
              <w:t>锌粉车间和熔炼车间。</w:t>
            </w:r>
          </w:p>
          <w:p>
            <w:pPr>
              <w:rPr>
                <w:rFonts w:hint="eastAsia" w:ascii="宋体" w:hAnsi="宋体" w:eastAsia="宋体" w:cs="Times New Roman"/>
                <w:sz w:val="21"/>
                <w:szCs w:val="21"/>
                <w:lang w:val="en-US" w:eastAsia="zh-CN"/>
              </w:rPr>
            </w:pPr>
            <w:r>
              <w:rPr>
                <w:rFonts w:hint="eastAsia" w:ascii="Times New Roman" w:hAnsi="Times New Roman" w:eastAsia="宋体" w:cs="Times New Roman"/>
                <w:b/>
                <w:color w:val="000000" w:themeColor="text1"/>
                <w:sz w:val="22"/>
                <w:szCs w:val="22"/>
                <w:lang w:val="en-US" w:eastAsia="zh-CN"/>
              </w:rPr>
              <w:t>辅助生产系统：</w:t>
            </w:r>
            <w:r>
              <w:rPr>
                <w:rFonts w:hint="eastAsia" w:ascii="宋体" w:hAnsi="宋体" w:eastAsia="宋体" w:cs="Times New Roman"/>
                <w:sz w:val="21"/>
                <w:szCs w:val="21"/>
                <w:lang w:val="en-US" w:eastAsia="zh-CN"/>
              </w:rPr>
              <w:t>质量工艺技术部、购销管理部、生产技术部、安全环保部；设备能源部、财务管理部。</w:t>
            </w:r>
          </w:p>
          <w:p>
            <w:pPr>
              <w:pStyle w:val="3"/>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sz w:val="20"/>
                <w:szCs w:val="22"/>
              </w:rPr>
            </w:pPr>
          </w:p>
        </w:tc>
        <w:tc>
          <w:tcPr>
            <w:tcW w:w="4735" w:type="dxa"/>
            <w:vAlign w:val="top"/>
          </w:tcPr>
          <w:p>
            <w:pPr>
              <w:pStyle w:val="3"/>
              <w:spacing w:line="320" w:lineRule="exact"/>
              <w:ind w:firstLine="0"/>
              <w:rPr>
                <w:b/>
                <w:bCs/>
                <w:sz w:val="20"/>
              </w:rPr>
            </w:pPr>
            <w:r>
              <w:rPr>
                <w:rFonts w:hint="eastAsia"/>
                <w:b/>
                <w:bCs/>
                <w:sz w:val="20"/>
              </w:rPr>
              <w:t>产量：</w:t>
            </w:r>
            <w:r>
              <w:rPr>
                <w:rFonts w:hint="eastAsia"/>
                <w:b/>
                <w:bCs/>
                <w:color w:val="000000"/>
                <w:sz w:val="20"/>
                <w:szCs w:val="22"/>
                <w:u w:val="single"/>
              </w:rPr>
              <w:t>尾渣处理量</w:t>
            </w:r>
            <w:r>
              <w:rPr>
                <w:rFonts w:hint="eastAsia"/>
                <w:b/>
                <w:bCs/>
                <w:color w:val="000000"/>
                <w:sz w:val="20"/>
                <w:szCs w:val="22"/>
                <w:u w:val="single"/>
                <w:lang w:val="en-US" w:eastAsia="zh-CN"/>
              </w:rPr>
              <w:t>130962.9 t，锌粉产量9372.18</w:t>
            </w:r>
            <w:r>
              <w:rPr>
                <w:rFonts w:hint="eastAsia"/>
                <w:b/>
                <w:bCs/>
                <w:color w:val="000000"/>
                <w:sz w:val="20"/>
                <w:szCs w:val="22"/>
                <w:u w:val="single"/>
              </w:rPr>
              <w:t xml:space="preserve"> </w:t>
            </w:r>
            <w:r>
              <w:rPr>
                <w:b/>
                <w:bCs/>
                <w:color w:val="000000"/>
                <w:sz w:val="20"/>
                <w:szCs w:val="22"/>
              </w:rPr>
              <w:t>t</w:t>
            </w:r>
          </w:p>
          <w:p>
            <w:pPr>
              <w:pStyle w:val="3"/>
              <w:spacing w:line="320" w:lineRule="exact"/>
              <w:ind w:firstLine="0" w:firstLineChars="0"/>
              <w:rPr>
                <w:rFonts w:ascii="宋体" w:hAnsi="宋体"/>
                <w:b/>
                <w:color w:val="000000" w:themeColor="text1"/>
                <w:szCs w:val="24"/>
              </w:rPr>
            </w:pPr>
            <w:r>
              <w:rPr>
                <w:rFonts w:hint="eastAsia"/>
                <w:b/>
                <w:bCs/>
                <w:sz w:val="20"/>
              </w:rPr>
              <w:t>产值：26121.37</w:t>
            </w:r>
            <w:r>
              <w:rPr>
                <w:rFonts w:hint="eastAsia"/>
                <w:b/>
                <w:bCs/>
                <w:sz w:val="20"/>
                <w:lang w:val="en-US" w:eastAsia="zh-CN"/>
              </w:rPr>
              <w:t>万元</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3"/>
              <w:spacing w:line="400" w:lineRule="exact"/>
              <w:ind w:firstLine="0"/>
              <w:rPr>
                <w:sz w:val="20"/>
                <w:szCs w:val="22"/>
              </w:rPr>
            </w:pPr>
          </w:p>
        </w:tc>
        <w:tc>
          <w:tcPr>
            <w:tcW w:w="4735" w:type="dxa"/>
            <w:vAlign w:val="top"/>
          </w:tcPr>
          <w:p>
            <w:pPr>
              <w:pStyle w:val="3"/>
              <w:spacing w:line="320" w:lineRule="exact"/>
              <w:ind w:left="1004" w:hanging="1004" w:hangingChars="500"/>
              <w:jc w:val="left"/>
              <w:rPr>
                <w:rFonts w:hint="eastAsia"/>
                <w:b/>
                <w:bCs/>
                <w:sz w:val="20"/>
                <w:szCs w:val="22"/>
                <w:lang w:val="en-US" w:eastAsia="zh-CN"/>
              </w:rPr>
            </w:pPr>
            <w:r>
              <w:rPr>
                <w:rFonts w:hint="eastAsia"/>
                <w:b/>
                <w:bCs/>
                <w:sz w:val="20"/>
                <w:szCs w:val="22"/>
                <w:lang w:val="zh-CN"/>
              </w:rPr>
              <w:t>综合能耗：</w:t>
            </w:r>
            <w:r>
              <w:rPr>
                <w:rFonts w:hint="eastAsia"/>
                <w:b/>
                <w:bCs/>
                <w:color w:val="000000"/>
                <w:sz w:val="20"/>
                <w:szCs w:val="22"/>
                <w:u w:val="single"/>
              </w:rPr>
              <w:t>尾渣处理</w:t>
            </w:r>
            <w:r>
              <w:rPr>
                <w:rFonts w:hint="eastAsia"/>
                <w:b/>
                <w:bCs/>
                <w:color w:val="000000"/>
                <w:sz w:val="20"/>
                <w:szCs w:val="22"/>
                <w:u w:val="single"/>
                <w:lang w:val="en-US" w:eastAsia="zh-CN"/>
              </w:rPr>
              <w:t>综合能耗</w:t>
            </w:r>
            <w:r>
              <w:rPr>
                <w:rFonts w:hint="eastAsia"/>
                <w:b/>
                <w:bCs/>
                <w:sz w:val="20"/>
                <w:szCs w:val="22"/>
                <w:lang w:val="zh-CN"/>
              </w:rPr>
              <w:t>56415.24</w:t>
            </w:r>
            <w:r>
              <w:rPr>
                <w:rFonts w:hint="eastAsia"/>
                <w:b/>
                <w:bCs/>
                <w:sz w:val="20"/>
                <w:szCs w:val="22"/>
                <w:lang w:val="en-US" w:eastAsia="zh-CN"/>
              </w:rPr>
              <w:t xml:space="preserve"> tce     </w:t>
            </w:r>
          </w:p>
          <w:p>
            <w:pPr>
              <w:pStyle w:val="3"/>
              <w:spacing w:line="320" w:lineRule="exact"/>
              <w:ind w:firstLine="926" w:firstLineChars="461"/>
              <w:jc w:val="left"/>
              <w:rPr>
                <w:rFonts w:hint="default" w:eastAsia="宋体"/>
                <w:b/>
                <w:bCs/>
                <w:sz w:val="20"/>
                <w:szCs w:val="22"/>
                <w:lang w:val="en-US" w:eastAsia="zh-CN"/>
              </w:rPr>
            </w:pPr>
            <w:r>
              <w:rPr>
                <w:rFonts w:hint="eastAsia"/>
                <w:b/>
                <w:bCs/>
                <w:color w:val="000000"/>
                <w:sz w:val="20"/>
                <w:szCs w:val="22"/>
                <w:u w:val="single"/>
                <w:lang w:val="en-US" w:eastAsia="zh-CN"/>
              </w:rPr>
              <w:t>锌粉生产综合能耗</w:t>
            </w:r>
            <w:r>
              <w:rPr>
                <w:rFonts w:hint="eastAsia"/>
                <w:b/>
                <w:bCs/>
                <w:sz w:val="20"/>
                <w:szCs w:val="22"/>
                <w:lang w:val="zh-CN"/>
              </w:rPr>
              <w:t>4831.6</w:t>
            </w:r>
            <w:r>
              <w:rPr>
                <w:rFonts w:hint="eastAsia"/>
                <w:b/>
                <w:bCs/>
                <w:sz w:val="20"/>
                <w:szCs w:val="22"/>
                <w:lang w:val="en-US" w:eastAsia="zh-CN"/>
              </w:rPr>
              <w:t xml:space="preserve">8tce </w:t>
            </w:r>
          </w:p>
          <w:p>
            <w:pPr>
              <w:pStyle w:val="3"/>
              <w:spacing w:line="320" w:lineRule="exact"/>
              <w:ind w:firstLine="0" w:firstLineChars="0"/>
              <w:rPr>
                <w:rFonts w:ascii="宋体" w:hAnsi="宋体"/>
                <w:b/>
                <w:color w:val="000000" w:themeColor="text1"/>
                <w:szCs w:val="24"/>
              </w:rPr>
            </w:pPr>
            <w:r>
              <w:rPr>
                <w:rFonts w:hint="eastAsia"/>
                <w:sz w:val="20"/>
                <w:szCs w:val="22"/>
              </w:rPr>
              <w:t xml:space="preserve"> </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3"/>
              <w:spacing w:line="400" w:lineRule="exact"/>
              <w:ind w:firstLine="0"/>
              <w:rPr>
                <w:sz w:val="20"/>
                <w:szCs w:val="22"/>
              </w:rPr>
            </w:pPr>
          </w:p>
        </w:tc>
        <w:tc>
          <w:tcPr>
            <w:tcW w:w="4735" w:type="dxa"/>
            <w:vAlign w:val="top"/>
          </w:tcPr>
          <w:p>
            <w:pPr>
              <w:rPr>
                <w:rFonts w:hint="eastAsia"/>
                <w:b/>
                <w:bCs/>
                <w:color w:val="000000"/>
                <w:sz w:val="20"/>
                <w:szCs w:val="22"/>
                <w:u w:val="single"/>
                <w:lang w:val="en-US" w:eastAsia="zh-CN"/>
              </w:rPr>
            </w:pPr>
            <w:r>
              <w:rPr>
                <w:rFonts w:hint="eastAsia"/>
                <w:b/>
                <w:bCs/>
                <w:sz w:val="20"/>
                <w:szCs w:val="22"/>
              </w:rPr>
              <w:t>单位能耗：</w:t>
            </w:r>
            <w:r>
              <w:rPr>
                <w:rFonts w:hint="eastAsia"/>
                <w:b/>
                <w:bCs/>
                <w:color w:val="000000"/>
                <w:sz w:val="20"/>
                <w:szCs w:val="22"/>
                <w:u w:val="single"/>
              </w:rPr>
              <w:t>尾渣处理</w:t>
            </w:r>
            <w:r>
              <w:rPr>
                <w:rFonts w:hint="eastAsia"/>
                <w:b/>
                <w:bCs/>
                <w:color w:val="000000"/>
                <w:sz w:val="20"/>
                <w:szCs w:val="22"/>
                <w:u w:val="single"/>
                <w:lang w:eastAsia="zh-CN"/>
              </w:rPr>
              <w:t>单位综合能耗</w:t>
            </w:r>
            <w:r>
              <w:rPr>
                <w:rFonts w:hint="eastAsia"/>
                <w:b/>
                <w:bCs/>
                <w:color w:val="000000"/>
                <w:sz w:val="20"/>
                <w:szCs w:val="22"/>
                <w:u w:val="single"/>
                <w:lang w:val="en-US" w:eastAsia="zh-CN"/>
              </w:rPr>
              <w:t>430.77</w:t>
            </w:r>
            <w:r>
              <w:rPr>
                <w:b/>
                <w:bCs/>
                <w:color w:val="000000"/>
                <w:sz w:val="20"/>
                <w:szCs w:val="22"/>
                <w:u w:val="single"/>
              </w:rPr>
              <w:t>Kgce/</w:t>
            </w:r>
            <w:r>
              <w:rPr>
                <w:rFonts w:hint="eastAsia"/>
                <w:b/>
                <w:bCs/>
                <w:color w:val="000000"/>
                <w:sz w:val="20"/>
                <w:szCs w:val="22"/>
                <w:u w:val="single"/>
                <w:lang w:val="en-US" w:eastAsia="zh-CN"/>
              </w:rPr>
              <w:t xml:space="preserve"> t，</w:t>
            </w:r>
          </w:p>
          <w:p>
            <w:pPr>
              <w:ind w:firstLine="1004" w:firstLineChars="500"/>
              <w:rPr>
                <w:color w:val="000000"/>
                <w:sz w:val="20"/>
                <w:szCs w:val="22"/>
              </w:rPr>
            </w:pPr>
            <w:r>
              <w:rPr>
                <w:rFonts w:hint="eastAsia"/>
                <w:b/>
                <w:bCs/>
                <w:color w:val="000000"/>
                <w:sz w:val="20"/>
                <w:szCs w:val="22"/>
                <w:u w:val="single"/>
                <w:lang w:val="en-US" w:eastAsia="zh-CN"/>
              </w:rPr>
              <w:t>锌粉单位综合能耗</w:t>
            </w:r>
            <w:r>
              <w:rPr>
                <w:rFonts w:hint="eastAsia"/>
                <w:b/>
                <w:bCs/>
                <w:color w:val="000000"/>
                <w:sz w:val="20"/>
                <w:szCs w:val="22"/>
              </w:rPr>
              <w:t>；</w:t>
            </w:r>
            <w:r>
              <w:rPr>
                <w:rFonts w:hint="eastAsia"/>
                <w:b/>
                <w:bCs/>
                <w:color w:val="000000"/>
                <w:sz w:val="20"/>
                <w:szCs w:val="22"/>
                <w:u w:val="single"/>
                <w:lang w:val="en-US" w:eastAsia="zh-CN"/>
              </w:rPr>
              <w:t xml:space="preserve">515.53 </w:t>
            </w:r>
            <w:r>
              <w:rPr>
                <w:b/>
                <w:bCs/>
                <w:color w:val="000000"/>
                <w:sz w:val="20"/>
                <w:szCs w:val="22"/>
              </w:rPr>
              <w:t>Kgce/t</w:t>
            </w:r>
            <w:r>
              <w:rPr>
                <w:rFonts w:hint="eastAsia"/>
                <w:b/>
                <w:bCs/>
                <w:color w:val="000000"/>
                <w:sz w:val="20"/>
                <w:szCs w:val="22"/>
              </w:rPr>
              <w:t>；</w:t>
            </w:r>
          </w:p>
          <w:p>
            <w:pPr>
              <w:rPr>
                <w:b/>
                <w:bCs/>
                <w:sz w:val="20"/>
                <w:szCs w:val="22"/>
              </w:rPr>
            </w:pPr>
          </w:p>
          <w:p>
            <w:pPr>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3"/>
              <w:spacing w:line="400" w:lineRule="exact"/>
              <w:ind w:firstLine="0"/>
              <w:rPr>
                <w:sz w:val="20"/>
                <w:szCs w:val="22"/>
              </w:rPr>
            </w:pPr>
          </w:p>
        </w:tc>
        <w:tc>
          <w:tcPr>
            <w:tcW w:w="4735" w:type="dxa"/>
            <w:vAlign w:val="top"/>
          </w:tcPr>
          <w:p>
            <w:pPr>
              <w:rPr>
                <w:sz w:val="20"/>
                <w:szCs w:val="22"/>
              </w:rPr>
            </w:pPr>
            <w:r>
              <w:rPr>
                <w:rFonts w:hint="eastAsia"/>
                <w:b/>
                <w:bCs/>
                <w:sz w:val="20"/>
                <w:szCs w:val="22"/>
              </w:rPr>
              <w:t>节能量（万吨标准煤）：</w:t>
            </w:r>
          </w:p>
          <w:p>
            <w:pPr>
              <w:rPr>
                <w:sz w:val="20"/>
                <w:szCs w:val="22"/>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第二次监督审核</w:t>
            </w:r>
          </w:p>
          <w:p>
            <w:pPr>
              <w:pStyle w:val="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3"/>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rPr>
            </w:pPr>
            <w:r>
              <w:rPr>
                <w:rFonts w:hint="eastAsia"/>
                <w:b/>
                <w:bCs/>
                <w:sz w:val="20"/>
              </w:rPr>
              <w:t>产量：</w:t>
            </w:r>
          </w:p>
          <w:p>
            <w:pPr>
              <w:pStyle w:val="3"/>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3"/>
              <w:spacing w:line="320" w:lineRule="exact"/>
              <w:ind w:firstLine="0"/>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3"/>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3"/>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3"/>
              <w:spacing w:line="320" w:lineRule="exact"/>
              <w:ind w:firstLine="0"/>
              <w:rPr>
                <w:sz w:val="20"/>
              </w:rPr>
            </w:pPr>
          </w:p>
        </w:tc>
      </w:tr>
    </w:tbl>
    <w:p>
      <w:pPr>
        <w:pStyle w:val="3"/>
        <w:spacing w:line="0" w:lineRule="atLeast"/>
        <w:ind w:firstLine="0"/>
        <w:rPr>
          <w:b/>
          <w:color w:val="000000" w:themeColor="text1"/>
          <w:sz w:val="18"/>
          <w:szCs w:val="18"/>
          <w:lang w:val="en-GB"/>
        </w:rPr>
      </w:pPr>
    </w:p>
    <w:p>
      <w:pPr>
        <w:pStyle w:val="3"/>
        <w:spacing w:line="0" w:lineRule="atLeast"/>
        <w:ind w:firstLine="0"/>
        <w:rPr>
          <w:b/>
          <w:color w:val="000000" w:themeColor="text1"/>
          <w:sz w:val="18"/>
          <w:szCs w:val="18"/>
          <w:lang w:val="en-GB"/>
        </w:rPr>
      </w:pPr>
    </w:p>
    <w:p>
      <w:pPr>
        <w:pStyle w:val="3"/>
        <w:spacing w:line="0" w:lineRule="atLeast"/>
        <w:ind w:firstLine="0"/>
        <w:rPr>
          <w:b/>
          <w:color w:val="000000" w:themeColor="text1"/>
          <w:sz w:val="18"/>
          <w:szCs w:val="18"/>
          <w:lang w:val="en-GB"/>
        </w:rPr>
      </w:pPr>
      <w:bookmarkStart w:id="22" w:name="_GoBack"/>
      <w:bookmarkEnd w:id="22"/>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FhOTUxOWU4NmEyZTY3NTg5Zjg0ZDY5NTZmMzA5NGQifQ=="/>
  </w:docVars>
  <w:rsids>
    <w:rsidRoot w:val="00000000"/>
    <w:rsid w:val="1CD8660E"/>
    <w:rsid w:val="64CB6D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1527</Words>
  <Characters>2441</Characters>
  <Lines>18</Lines>
  <Paragraphs>5</Paragraphs>
  <TotalTime>0</TotalTime>
  <ScaleCrop>false</ScaleCrop>
  <LinksUpToDate>false</LinksUpToDate>
  <CharactersWithSpaces>2664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开门大吉～ISO认证服务</cp:lastModifiedBy>
  <cp:lastPrinted>2019-05-13T03:13:00Z</cp:lastPrinted>
  <dcterms:modified xsi:type="dcterms:W3CDTF">2022-09-02T15:07:43Z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