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/>
        <w:rPr>
          <w:rFonts w:ascii="Times New Roman"/>
          <w:sz w:val="16"/>
        </w:rPr>
      </w:pPr>
    </w:p>
    <w:p>
      <w:pPr>
        <w:pStyle w:val="4"/>
        <w:spacing w:before="0" w:line="20" w:lineRule="exact"/>
        <w:ind w:left="212" w:right="-29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id="_x0000_s2050" o:spid="_x0000_s2050" o:spt="203" style="height:0.75pt;width:733.9pt;" coordsize="14678,15">
            <o:lock v:ext="edit"/>
            <v:line id="_x0000_s2051" o:spid="_x0000_s2051" o:spt="20" style="position:absolute;left:0;top:7;height:0;width:14678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spacing w:before="21"/>
        <w:ind w:left="5920" w:right="5740" w:firstLine="0"/>
        <w:jc w:val="center"/>
        <w:rPr>
          <w:sz w:val="36"/>
        </w:rPr>
      </w:pPr>
      <w:r>
        <w:rPr>
          <w:sz w:val="36"/>
        </w:rPr>
        <w:t>管理体系审核记录表</w:t>
      </w:r>
    </w:p>
    <w:tbl>
      <w:tblPr>
        <w:tblStyle w:val="7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960"/>
        <w:gridCol w:w="10650"/>
        <w:gridCol w:w="9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</w:tcPr>
          <w:p>
            <w:pPr>
              <w:pStyle w:val="12"/>
              <w:spacing w:before="2"/>
              <w:ind w:lef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12"/>
              <w:spacing w:line="364" w:lineRule="auto"/>
              <w:ind w:left="599" w:right="348" w:hanging="24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过程与活动、抽样计划</w:t>
            </w:r>
          </w:p>
        </w:tc>
        <w:tc>
          <w:tcPr>
            <w:tcW w:w="960" w:type="dxa"/>
            <w:vMerge w:val="restart"/>
          </w:tcPr>
          <w:p>
            <w:pPr>
              <w:pStyle w:val="12"/>
              <w:spacing w:before="6"/>
              <w:ind w:lef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12"/>
              <w:spacing w:line="364" w:lineRule="auto"/>
              <w:ind w:right="36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涉及条款</w:t>
            </w:r>
          </w:p>
        </w:tc>
        <w:tc>
          <w:tcPr>
            <w:tcW w:w="10650" w:type="dxa"/>
          </w:tcPr>
          <w:p>
            <w:pPr>
              <w:pStyle w:val="12"/>
              <w:tabs>
                <w:tab w:val="left" w:pos="4106"/>
                <w:tab w:val="left" w:pos="5666"/>
                <w:tab w:val="left" w:pos="7346"/>
              </w:tabs>
              <w:spacing w:before="98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受审核部门：生产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主管领导：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廖园园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陪同人员：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朱吉先</w:t>
            </w:r>
          </w:p>
        </w:tc>
        <w:tc>
          <w:tcPr>
            <w:tcW w:w="939" w:type="dxa"/>
            <w:vMerge w:val="restart"/>
          </w:tcPr>
          <w:p>
            <w:pPr>
              <w:pStyle w:val="12"/>
              <w:spacing w:before="6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2"/>
              <w:ind w:left="10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650" w:type="dxa"/>
          </w:tcPr>
          <w:p>
            <w:pPr>
              <w:pStyle w:val="12"/>
              <w:tabs>
                <w:tab w:val="left" w:pos="2747"/>
              </w:tabs>
              <w:spacing w:before="9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张慧琴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审核时间：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2022.8.2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3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50" w:type="dxa"/>
          </w:tcPr>
          <w:p>
            <w:pPr>
              <w:pStyle w:val="12"/>
              <w:tabs>
                <w:tab w:val="left" w:pos="4106"/>
                <w:tab w:val="left" w:pos="5666"/>
                <w:tab w:val="left" w:pos="7346"/>
              </w:tabs>
              <w:spacing w:before="98"/>
              <w:rPr>
                <w:rFonts w:hint="eastAsia" w:ascii="宋体" w:hAnsi="宋体" w:cs="宋体"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审核条款Q:8.1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E:6.1.2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8.1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S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6.1.2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8.1</w:t>
            </w:r>
          </w:p>
        </w:tc>
        <w:tc>
          <w:tcPr>
            <w:tcW w:w="93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2160" w:type="dxa"/>
          </w:tcPr>
          <w:p>
            <w:pPr>
              <w:pStyle w:val="12"/>
              <w:spacing w:before="75" w:line="360" w:lineRule="auto"/>
              <w:ind w:right="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运行的策划和控制</w:t>
            </w:r>
          </w:p>
        </w:tc>
        <w:tc>
          <w:tcPr>
            <w:tcW w:w="960" w:type="dxa"/>
          </w:tcPr>
          <w:p>
            <w:pPr>
              <w:pStyle w:val="12"/>
              <w:spacing w:before="76"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QES</w:t>
            </w:r>
          </w:p>
          <w:p>
            <w:pPr>
              <w:pStyle w:val="12"/>
              <w:spacing w:before="75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8.1</w:t>
            </w:r>
          </w:p>
        </w:tc>
        <w:tc>
          <w:tcPr>
            <w:tcW w:w="10650" w:type="dxa"/>
          </w:tcPr>
          <w:p>
            <w:pPr>
              <w:pStyle w:val="12"/>
              <w:spacing w:before="1" w:line="360" w:lineRule="auto"/>
              <w:ind w:right="80" w:right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手册描述：锌粉、硫酸和次氧化锌的生产过程进行策划。为实现该过程编制了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</w:p>
          <w:p>
            <w:pPr>
              <w:pStyle w:val="12"/>
              <w:spacing w:before="1" w:line="360" w:lineRule="auto"/>
              <w:ind w:right="8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《产品实现的策划控制程序》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生产和服务过程控制程序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危险源辩识、风险评价和风险控制策划程序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应急准备和响应控制程序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，同时策划形成文件： </w:t>
            </w:r>
          </w:p>
          <w:p>
            <w:pPr>
              <w:pStyle w:val="12"/>
              <w:spacing w:before="1" w:line="360" w:lineRule="auto"/>
              <w:ind w:right="8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  <w:t>方针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  <w:t>严格依法依规、追求卓越质量、保证顾客满意；</w:t>
            </w:r>
          </w:p>
          <w:p>
            <w:pPr>
              <w:pStyle w:val="12"/>
              <w:spacing w:before="1" w:line="360" w:lineRule="auto"/>
              <w:ind w:right="80" w:rightChars="0"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  <w:t>全面预防污染、创建绿色企业、提升环境绩效；坚持人本管理、消除危害因素、确保健康安全。</w:t>
            </w:r>
          </w:p>
          <w:p>
            <w:pPr>
              <w:pStyle w:val="12"/>
              <w:spacing w:before="1" w:line="360" w:lineRule="auto"/>
              <w:ind w:right="80" w:rightChars="0" w:firstLine="480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  <w:t>目标策划：</w:t>
            </w:r>
            <w:bookmarkStart w:id="0" w:name="_Toc8259"/>
            <w:bookmarkStart w:id="1" w:name="_Toc2131"/>
            <w:bookmarkStart w:id="2" w:name="_Toc24123"/>
            <w:bookmarkStart w:id="3" w:name="_Toc10515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  <w:t>质量：</w:t>
            </w:r>
          </w:p>
          <w:p>
            <w:pPr>
              <w:pStyle w:val="12"/>
              <w:spacing w:before="1" w:line="360" w:lineRule="auto"/>
              <w:ind w:right="80" w:rightChars="0" w:firstLine="480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  <w:t>1.出厂锌粉合格率  100%；</w:t>
            </w:r>
            <w:bookmarkEnd w:id="0"/>
            <w:bookmarkEnd w:id="1"/>
            <w:bookmarkEnd w:id="2"/>
            <w:bookmarkEnd w:id="3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  <w:t>2.出厂硫酸合格率  100%；3.出厂次氧化锌合格率  100%；</w:t>
            </w:r>
            <w:bookmarkStart w:id="4" w:name="_Toc22828"/>
            <w:bookmarkStart w:id="5" w:name="_Toc20669"/>
            <w:bookmarkStart w:id="6" w:name="_Toc425"/>
            <w:bookmarkStart w:id="7" w:name="_Toc26455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  <w:t>.顾客满意度≥9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  <w:t>%；</w:t>
            </w:r>
            <w:bookmarkEnd w:id="4"/>
            <w:bookmarkEnd w:id="5"/>
            <w:bookmarkEnd w:id="6"/>
            <w:bookmarkEnd w:id="7"/>
            <w:bookmarkStart w:id="8" w:name="_Toc10614"/>
            <w:bookmarkStart w:id="9" w:name="_Toc23580"/>
            <w:bookmarkStart w:id="10" w:name="_Toc6589"/>
            <w:bookmarkStart w:id="11" w:name="_Toc11962"/>
          </w:p>
          <w:bookmarkEnd w:id="8"/>
          <w:bookmarkEnd w:id="9"/>
          <w:bookmarkEnd w:id="10"/>
          <w:bookmarkEnd w:id="11"/>
          <w:p>
            <w:pPr>
              <w:pStyle w:val="12"/>
              <w:spacing w:before="1" w:line="360" w:lineRule="auto"/>
              <w:ind w:right="80" w:rightChars="0" w:firstLine="480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bookmarkStart w:id="12" w:name="_Toc1753"/>
            <w:bookmarkStart w:id="13" w:name="_Toc15157"/>
            <w:bookmarkStart w:id="14" w:name="_Toc4084"/>
            <w:bookmarkStart w:id="15" w:name="_Toc30291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  <w:t>环境：1.环境污染与破坏事故为零；2.主要污染物稳定达标排放；3.</w:t>
            </w:r>
            <w:bookmarkEnd w:id="12"/>
            <w:bookmarkEnd w:id="13"/>
            <w:bookmarkEnd w:id="14"/>
            <w:bookmarkEnd w:id="15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  <w:t>环境管理“三同时”执行率100%；</w:t>
            </w:r>
          </w:p>
          <w:p>
            <w:pPr>
              <w:pStyle w:val="12"/>
              <w:spacing w:before="1" w:line="360" w:lineRule="auto"/>
              <w:ind w:right="80" w:rightChars="0" w:firstLine="48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  <w:t>职业健康安全：1.重伤、死亡事故为零；职业病患者为零；中毒、爆炸、火灾事故为零。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469"/>
                <w:tab w:val="left" w:leader="hyphen" w:pos="9227"/>
              </w:tabs>
              <w:spacing w:before="1" w:after="0" w:line="360" w:lineRule="auto"/>
              <w:ind w:left="468" w:right="0" w:hanging="36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生产设备策划：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侧吹炉、烟化炉、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电炉、回转窑、锅炉等，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还有辅助设备：送料机、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收尘、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料仓、成品仓、维修等。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469"/>
              </w:tabs>
              <w:spacing w:before="160" w:after="0" w:line="360" w:lineRule="auto"/>
              <w:ind w:left="468" w:right="0" w:hanging="36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产品和服务要求策划：包括了“产品质量、人力、物力、财务支持、服务等资源”。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469"/>
              </w:tabs>
              <w:spacing w:before="1" w:after="0" w:line="360" w:lineRule="auto"/>
              <w:ind w:left="468" w:right="0" w:hanging="362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对产品符合性要求的策划：提供满足监视和测量要求的设备并应用到生产检测中。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469"/>
              </w:tabs>
              <w:spacing w:before="161" w:after="0" w:line="360" w:lineRule="auto"/>
              <w:ind w:left="107" w:right="92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过程要求及控制策划：编制工艺流程和工艺控制文件、作业指导书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lang w:eastAsia="zh-CN"/>
              </w:rPr>
              <w:t>（如：生产作业指导书、操作规程、生产方案、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金属平衡规范、生产计划编制制度、生产技术部生产组织考核制度、统计管理制度、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--等文件，经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培训并发放到工作岗位实施。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469"/>
              </w:tabs>
              <w:spacing w:before="1" w:after="0" w:line="360" w:lineRule="auto"/>
              <w:ind w:left="468" w:right="0" w:hanging="36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编制产品接收准则文件并实施。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469"/>
              </w:tabs>
              <w:spacing w:before="161" w:after="0" w:line="360" w:lineRule="auto"/>
              <w:ind w:left="107" w:right="92" w:firstLine="0"/>
              <w:jc w:val="left"/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按国家法律法规要求和本公司实际情况，实施符合性策划和控制。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469"/>
              </w:tabs>
              <w:spacing w:before="161" w:after="0" w:line="360" w:lineRule="auto"/>
              <w:ind w:left="107" w:right="92" w:firstLine="0"/>
              <w:jc w:val="left"/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按标准要求策划、编制了质量管理手册：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lang w:val="en-US"/>
              </w:rPr>
              <w:t>QHXH/SC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-20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lang w:val="en-US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 xml:space="preserve"> 版  号：A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lang w:val="en-US"/>
              </w:rPr>
              <w:t>/0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·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lang w:eastAsia="zh-CN"/>
              </w:rPr>
              <w:t>等文件。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469"/>
              </w:tabs>
              <w:spacing w:before="161" w:after="0" w:line="360" w:lineRule="auto"/>
              <w:ind w:left="107" w:right="92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 xml:space="preserve">包含必要的形成文件的信息“程序文件 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lang w:eastAsia="zh-CN"/>
              </w:rPr>
              <w:t>QHXH/CX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lang w:eastAsia="zh-CN"/>
              </w:rPr>
              <w:t xml:space="preserve">2020   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版  号：A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lang w:eastAsia="zh-CN"/>
              </w:rPr>
              <w:t>/0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”；证实体系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 xml:space="preserve">运行有效运行的文件化信息；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任职要求和岗位职责描述、工艺文件、规程、作业指导书等。</w:t>
            </w:r>
          </w:p>
          <w:p>
            <w:pPr>
              <w:pStyle w:val="12"/>
              <w:tabs>
                <w:tab w:val="left" w:pos="3947"/>
              </w:tabs>
              <w:spacing w:before="16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符合性确认：策划过程、目标、文件化信息等，与该公司产品和法律法规要求相符合；与过程控制要求相符合。策划的结果已形成文件并得到宣贯、下发。</w:t>
            </w:r>
          </w:p>
        </w:tc>
        <w:tc>
          <w:tcPr>
            <w:tcW w:w="939" w:type="dxa"/>
          </w:tcPr>
          <w:p>
            <w:pPr>
              <w:pStyle w:val="12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2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2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2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2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2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2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2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2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2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2"/>
              <w:ind w:left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环境因素</w:t>
            </w:r>
          </w:p>
          <w:p>
            <w:pPr>
              <w:spacing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E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6.1.2</w:t>
            </w:r>
          </w:p>
          <w:p>
            <w:pPr>
              <w:spacing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</w:pPr>
          </w:p>
        </w:tc>
        <w:tc>
          <w:tcPr>
            <w:tcW w:w="10650" w:type="dxa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通过微信传递了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《环境因素识别与评价表》环境因素14项、具体火灾爆炸、有害气体泄露、噪音排放、固体废弃物排放、危废排放等等——有相应的控制措施、及涉及人员和相关方信息、未见明显遗漏；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确定的环境影响3项、具体为大气污染、土壤污染和原材料及能源消耗等 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有三种时态和状态的说明；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对环境影响评价方法为（打分法 ）；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提供了《重要环境因素清单》5项、主要为危险化学品、油品泄漏和挥发、固体废物及有毒有害废弃物排放、火灾、爆炸发生等，有控制方法的相关内容，查环境因素识别基本符合实际情况，未见明显遗漏、评价基本准确；对应了风险和机遇中重要环境因素的相关信息、未见明显遗漏，符合规定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上述文件有编审批、更新日期20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.1.1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；</w:t>
            </w:r>
          </w:p>
          <w:p>
            <w:pPr>
              <w:spacing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近一年来现场环境基本没有发生变化；</w:t>
            </w:r>
          </w:p>
        </w:tc>
        <w:tc>
          <w:tcPr>
            <w:tcW w:w="939" w:type="dxa"/>
          </w:tcPr>
          <w:p>
            <w:pPr>
              <w:pStyle w:val="12"/>
              <w:ind w:left="0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危险源辨识及风险和机遇的评价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危险源辨识</w:t>
            </w:r>
          </w:p>
          <w:p>
            <w:pPr>
              <w:spacing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6.1.2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6.1.2.1</w:t>
            </w:r>
          </w:p>
          <w:p>
            <w:pPr>
              <w:spacing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65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编制了《危险源辨识、风险评价和控制措施一览表》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识别的危险源5类、包括“电气漏电、火灾、高空坠落、化学品挥发中毒或不适、物 ”等——查基本没有遗漏；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对上述识别的危险源确定了相应的危害内容（机械、触电等）；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采用LECD评价法、风险等级为中度以下、均为可以接受的风险；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评价出的重大危险源1项、具体为火灾爆炸、查评价基本准确；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控制措施包括“个人防护、培训教育、检查消除”等；</w:t>
            </w:r>
          </w:p>
          <w:p>
            <w:pPr>
              <w:spacing w:line="360" w:lineRule="auto"/>
              <w:ind w:left="0" w:leftChars="0" w:right="0" w:rightChars="0"/>
              <w:jc w:val="left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查近一年 场地环境没有变化；</w:t>
            </w:r>
          </w:p>
        </w:tc>
        <w:tc>
          <w:tcPr>
            <w:tcW w:w="939" w:type="dxa"/>
          </w:tcPr>
          <w:p>
            <w:pPr>
              <w:pStyle w:val="12"/>
              <w:ind w:left="0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ind w:left="0" w:leftChars="0" w:right="0" w:rightChars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环境和职业健康安全运行控制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ES</w:t>
            </w:r>
          </w:p>
          <w:p>
            <w:pPr>
              <w:spacing w:line="360" w:lineRule="auto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8.1</w:t>
            </w:r>
          </w:p>
          <w:p>
            <w:pPr>
              <w:spacing w:line="360" w:lineRule="auto"/>
              <w:ind w:left="0" w:leftChars="0" w:right="0" w:rightChars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0650" w:type="dxa"/>
            <w:vAlign w:val="center"/>
          </w:tcPr>
          <w:p>
            <w:pPr>
              <w:spacing w:line="360" w:lineRule="auto"/>
              <w:ind w:firstLine="420" w:firstLineChars="200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1.制定并执行“实验室管理制度”、“化学试剂管理制度”、“安全技术操作规程”等。</w:t>
            </w:r>
          </w:p>
          <w:p>
            <w:pPr>
              <w:spacing w:line="360" w:lineRule="auto"/>
              <w:ind w:firstLine="420" w:firstLineChars="200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2.制定并执行人员培训、考核制度，班前会按制度规定进行教育，内容具体落实到人。</w:t>
            </w:r>
          </w:p>
          <w:p>
            <w:pPr>
              <w:spacing w:line="360" w:lineRule="auto"/>
              <w:ind w:firstLine="420" w:firstLineChars="200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3.严格按照交接班制度，签字确认，并做到具体明确。</w:t>
            </w:r>
          </w:p>
          <w:p>
            <w:pPr>
              <w:spacing w:line="360" w:lineRule="auto"/>
              <w:ind w:firstLine="420" w:firstLineChars="200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4.取样前按规定正确穿戴劳动保护用品(安全帽、防尘帽、口罩、手套、劳保鞋及工作服），执行取样作业安全操作要求。</w:t>
            </w:r>
          </w:p>
          <w:p>
            <w:pPr>
              <w:spacing w:line="360" w:lineRule="auto"/>
              <w:ind w:firstLine="420" w:firstLineChars="200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5.制样时正确穿戴好劳动保护用品，按制样先后顺序进行，操作设备时严格按照设备的操作规程进行操作。</w:t>
            </w:r>
          </w:p>
          <w:p>
            <w:pPr>
              <w:spacing w:line="360" w:lineRule="auto"/>
              <w:ind w:firstLine="420" w:firstLineChars="200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6.药品设专人管理，专柜存放，领取时由两人相互监督发放，并有专门的发放领用记录签字确认。</w:t>
            </w:r>
          </w:p>
          <w:p>
            <w:pPr>
              <w:spacing w:line="360" w:lineRule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查见“危化品保管使用记录”、“出库记录”。</w:t>
            </w:r>
          </w:p>
          <w:p>
            <w:pPr>
              <w:spacing w:line="360" w:lineRule="auto"/>
              <w:ind w:firstLine="420" w:firstLineChars="200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7.获取使用化学品MSDS，废液中和，废水经沉淀、过滤，回用于生产、绿化，不外排。</w:t>
            </w:r>
          </w:p>
          <w:p>
            <w:pPr>
              <w:spacing w:line="360" w:lineRule="auto"/>
              <w:ind w:firstLine="420" w:firstLineChars="200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8.试验后剩余的材料、样品堆放垃圾场。</w:t>
            </w:r>
          </w:p>
          <w:p>
            <w:pPr>
              <w:spacing w:line="360" w:lineRule="auto"/>
              <w:ind w:left="0" w:leftChars="0" w:right="0" w:rightChars="0"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现场观察：作业分区、仪器定置摆放、试验材料专人保管，挂牌上锁、配置消防器材。</w:t>
            </w:r>
          </w:p>
        </w:tc>
        <w:tc>
          <w:tcPr>
            <w:tcW w:w="939" w:type="dxa"/>
          </w:tcPr>
          <w:p>
            <w:pPr>
              <w:pStyle w:val="12"/>
              <w:ind w:left="0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ind w:left="0" w:leftChars="0" w:right="0" w:rightChars="0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ES</w:t>
            </w:r>
            <w:r>
              <w:rPr>
                <w:b w:val="0"/>
                <w:bCs/>
                <w:color w:val="auto"/>
                <w:sz w:val="21"/>
                <w:szCs w:val="21"/>
              </w:rPr>
              <w:t>8.2</w:t>
            </w:r>
          </w:p>
          <w:p>
            <w:pPr>
              <w:spacing w:line="360" w:lineRule="auto"/>
              <w:ind w:left="0" w:leftChars="0" w:right="0" w:rightChars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065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提供了火灾爆炸事故、触电事故、机械伤害、高空坠落、物体打击救援应急预案等，包括应急组织体系、应急响应、保障措施、培训与演练等内容。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查见“应急物资清单”，包括1.值班车2辆 2.应急工具事故应急柜4个3.消防设备：干粉灭火器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消防栓，以及消防沙等。4.防毒口罩、毛巾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抽查1演练内容：起重事故应急演练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查见演习报告，时间：20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日  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地点：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锌粉车间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 总指挥：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王锦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参加人员：公司领导和各部门及车间员工。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抽查2演练内容：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事故应急演练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查见演习报告，时间：20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日  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地点：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熔炼车间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 总指挥：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马生佳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 </w:t>
            </w:r>
            <w:bookmarkStart w:id="16" w:name="_GoBack"/>
            <w:bookmarkEnd w:id="16"/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参加人员：公司领导和各部门及车间员工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余人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 xml:space="preserve">1.演练过程综述：包括物资准备和人员培训、演练过程描述、现场救援讲评等。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2.存在问题和改进计划：通过演练，管理人员对突发事件后应急预备有了更加深刻的认识，而对问题能做到紧张不忙，按程序及时预备。改进方面包括需要加强培训、增强演习实战性等。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 xml:space="preserve">3.演练后对预案适宜性充分性评审，结论是无需修订。  </w:t>
            </w:r>
          </w:p>
          <w:p>
            <w:pPr>
              <w:spacing w:line="360" w:lineRule="auto"/>
              <w:ind w:left="0" w:leftChars="0" w:right="0" w:rightChars="0" w:firstLine="420" w:firstLineChars="200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针对其它可能发生紧急情况应急措施公司已制定培训演练计划，待条件成熟后组织实施。</w:t>
            </w:r>
          </w:p>
        </w:tc>
        <w:tc>
          <w:tcPr>
            <w:tcW w:w="939" w:type="dxa"/>
          </w:tcPr>
          <w:p>
            <w:pPr>
              <w:pStyle w:val="12"/>
              <w:ind w:left="0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before="75"/>
        <w:ind w:left="220" w:right="0" w:firstLine="0"/>
        <w:jc w:val="left"/>
        <w:rPr>
          <w:rFonts w:hint="eastAsia" w:ascii="黑体" w:hAnsi="黑体" w:eastAsia="黑体"/>
          <w:sz w:val="18"/>
        </w:rPr>
      </w:pPr>
      <w:r>
        <w:rPr>
          <w:rFonts w:hint="eastAsia" w:ascii="黑体" w:hAnsi="黑体" w:eastAsia="黑体"/>
          <w:sz w:val="18"/>
        </w:rPr>
        <w:t>说明：不符合标注“N”</w:t>
      </w:r>
    </w:p>
    <w:sectPr>
      <w:headerReference r:id="rId5" w:type="default"/>
      <w:footerReference r:id="rId6" w:type="default"/>
      <w:pgSz w:w="16840" w:h="11910" w:orient="landscape"/>
      <w:pgMar w:top="1520" w:right="1040" w:bottom="1380" w:left="860" w:header="859" w:footer="114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rPr>
        <w:sz w:val="15"/>
      </w:rPr>
    </w:pPr>
    <w:r>
      <w:pict>
        <v:shape id="_x0000_s3075" o:spid="_x0000_s3075" o:spt="202" type="#_x0000_t202" style="position:absolute;left:0pt;margin-left:410.9pt;margin-top:524.3pt;height:12.1pt;width:19.0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4"/>
                  <w:ind w:left="4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ascii="Times New Roman"/>
                    <w:b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 xml:space="preserve">/ </w:t>
                </w:r>
                <w:r>
                  <w:rPr>
                    <w:rFonts w:ascii="Times New Roman"/>
                    <w:b/>
                    <w:sz w:val="18"/>
                  </w:rPr>
                  <w:t>9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rPr>
        <w:sz w:val="20"/>
      </w:rPr>
    </w:pPr>
    <w:r>
      <w:pict>
        <v:shape id="_x0000_s3076" o:spid="_x0000_s3076" o:spt="202" type="#_x0000_t202" style="position:absolute;left:0pt;margin-left:53pt;margin-top:39.7pt;height:34.1pt;width:285.2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4"/>
                  <w:spacing w:before="0" w:line="259" w:lineRule="exact"/>
                  <w:ind w:left="744"/>
                </w:pPr>
                <w:r>
                  <w:t>北京国标联合认证有限公司</w:t>
                </w:r>
              </w:p>
              <w:p>
                <w:pPr>
                  <w:pStyle w:val="4"/>
                  <w:spacing w:before="50" w:line="259" w:lineRule="exact"/>
                  <w:ind w:left="20"/>
                </w:pPr>
                <w:r>
                  <w:rPr>
                    <w:w w:val="95"/>
                  </w:rPr>
                  <w:t>Beijing</w:t>
                </w:r>
                <w:r>
                  <w:rPr>
                    <w:spacing w:val="-6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International</w:t>
                </w:r>
                <w:r>
                  <w:rPr>
                    <w:spacing w:val="-6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Standard</w:t>
                </w:r>
                <w:r>
                  <w:rPr>
                    <w:spacing w:val="-63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united</w:t>
                </w:r>
                <w:r>
                  <w:rPr>
                    <w:spacing w:val="-63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Certification</w:t>
                </w:r>
                <w:r>
                  <w:rPr>
                    <w:spacing w:val="-63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Co.,Ltd.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-123825</wp:posOffset>
          </wp:positionV>
          <wp:extent cx="405765" cy="405765"/>
          <wp:effectExtent l="0" t="0" r="635" b="635"/>
          <wp:wrapNone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5765" cy="405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4" o:spid="_x0000_s3074" o:spt="202" type="#_x0000_t202" style="position:absolute;left:0pt;margin-left:614.95pt;margin-top:64.3pt;height:12pt;width:152.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eastAsia="Times New Roman"/>
                    <w:sz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  <w:p>
                <w:pPr>
                  <w:spacing w:before="3"/>
                  <w:ind w:left="20" w:right="0" w:firstLine="0"/>
                  <w:jc w:val="left"/>
                  <w:rPr>
                    <w:rFonts w:ascii="Times New Roman" w:eastAsia="Times New Roman"/>
                    <w:sz w:val="18"/>
                  </w:rPr>
                </w:pPr>
                <w:r>
                  <w:rPr>
                    <w:rFonts w:ascii="Times New Roman" w:eastAsia="Times New Roman"/>
                    <w:sz w:val="18"/>
                  </w:rPr>
                  <w:t>)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2"/>
      <w:numFmt w:val="decimal"/>
      <w:lvlText w:val="%1）"/>
      <w:lvlJc w:val="left"/>
      <w:pPr>
        <w:ind w:left="107" w:hanging="365"/>
        <w:jc w:val="left"/>
      </w:pPr>
      <w:rPr>
        <w:rFonts w:hint="default" w:ascii="宋体" w:hAnsi="宋体" w:eastAsia="宋体" w:cs="宋体"/>
        <w:spacing w:val="2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154" w:hanging="365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208" w:hanging="365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262" w:hanging="365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316" w:hanging="365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370" w:hanging="365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424" w:hanging="365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478" w:hanging="365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532" w:hanging="36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Dk1MjI2ZDg3ZWNhYTVjMTlkZThhZDc5MTg1NDZjOTEifQ=="/>
  </w:docVars>
  <w:rsids>
    <w:rsidRoot w:val="00000000"/>
    <w:rsid w:val="01A4220E"/>
    <w:rsid w:val="049B7AE1"/>
    <w:rsid w:val="05543FEE"/>
    <w:rsid w:val="07133FAB"/>
    <w:rsid w:val="085619CC"/>
    <w:rsid w:val="0886435B"/>
    <w:rsid w:val="0C712A52"/>
    <w:rsid w:val="0CFF558A"/>
    <w:rsid w:val="129703EE"/>
    <w:rsid w:val="13227578"/>
    <w:rsid w:val="15B734BA"/>
    <w:rsid w:val="17B961DD"/>
    <w:rsid w:val="190F6178"/>
    <w:rsid w:val="1A1D3C05"/>
    <w:rsid w:val="1B1C7B16"/>
    <w:rsid w:val="1B6D7DAC"/>
    <w:rsid w:val="1E964009"/>
    <w:rsid w:val="262C64BF"/>
    <w:rsid w:val="26843589"/>
    <w:rsid w:val="29B81E93"/>
    <w:rsid w:val="2EA17A11"/>
    <w:rsid w:val="2F5B4B70"/>
    <w:rsid w:val="305E7A93"/>
    <w:rsid w:val="33103A2C"/>
    <w:rsid w:val="33A62287"/>
    <w:rsid w:val="344710B6"/>
    <w:rsid w:val="38E76D03"/>
    <w:rsid w:val="393D6913"/>
    <w:rsid w:val="3CBD77B1"/>
    <w:rsid w:val="3DFB5D77"/>
    <w:rsid w:val="40AC4CB5"/>
    <w:rsid w:val="434E7714"/>
    <w:rsid w:val="44BD128D"/>
    <w:rsid w:val="44CE6279"/>
    <w:rsid w:val="46130415"/>
    <w:rsid w:val="46FB5F19"/>
    <w:rsid w:val="47A419A3"/>
    <w:rsid w:val="4B9219F9"/>
    <w:rsid w:val="4D792FD0"/>
    <w:rsid w:val="4DBB37BF"/>
    <w:rsid w:val="4DE94BF8"/>
    <w:rsid w:val="50275685"/>
    <w:rsid w:val="50B80BD1"/>
    <w:rsid w:val="533D15E7"/>
    <w:rsid w:val="535B7344"/>
    <w:rsid w:val="5744209D"/>
    <w:rsid w:val="580355BA"/>
    <w:rsid w:val="5B4B0DE1"/>
    <w:rsid w:val="5C0F63B1"/>
    <w:rsid w:val="5CE657B6"/>
    <w:rsid w:val="5D692730"/>
    <w:rsid w:val="5E8E22D1"/>
    <w:rsid w:val="63687E3E"/>
    <w:rsid w:val="63753590"/>
    <w:rsid w:val="66FB0071"/>
    <w:rsid w:val="6713152D"/>
    <w:rsid w:val="67DA1164"/>
    <w:rsid w:val="68B807C5"/>
    <w:rsid w:val="69F71F54"/>
    <w:rsid w:val="69F82C54"/>
    <w:rsid w:val="6A36345D"/>
    <w:rsid w:val="6CE32EB2"/>
    <w:rsid w:val="6D4638DB"/>
    <w:rsid w:val="6F531E9D"/>
    <w:rsid w:val="70B618A6"/>
    <w:rsid w:val="70CA4501"/>
    <w:rsid w:val="760E2A56"/>
    <w:rsid w:val="76AB27EF"/>
    <w:rsid w:val="76E85BBC"/>
    <w:rsid w:val="77490841"/>
    <w:rsid w:val="7A5B6A6E"/>
    <w:rsid w:val="7C4441CF"/>
    <w:rsid w:val="7E03404D"/>
    <w:rsid w:val="7EC57D5D"/>
    <w:rsid w:val="7FBD1D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2">
    <w:name w:val="heading 2"/>
    <w:basedOn w:val="1"/>
    <w:next w:val="3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qFormat/>
    <w:uiPriority w:val="1"/>
    <w:pPr>
      <w:spacing w:before="0"/>
    </w:pPr>
    <w:rPr>
      <w:rFonts w:ascii="宋体" w:hAnsi="宋体" w:eastAsia="宋体" w:cs="宋体"/>
      <w:sz w:val="21"/>
      <w:szCs w:val="21"/>
      <w:lang w:val="en-US" w:eastAsia="en-US" w:bidi="en-US"/>
    </w:rPr>
  </w:style>
  <w:style w:type="paragraph" w:styleId="5">
    <w:name w:val="Body Text Indent"/>
    <w:basedOn w:val="1"/>
    <w:qFormat/>
    <w:uiPriority w:val="0"/>
    <w:pPr>
      <w:ind w:firstLine="425"/>
    </w:pPr>
  </w:style>
  <w:style w:type="paragraph" w:styleId="6">
    <w:name w:val="Title"/>
    <w:basedOn w:val="1"/>
    <w:next w:val="1"/>
    <w:qFormat/>
    <w:uiPriority w:val="99"/>
    <w:pPr>
      <w:spacing w:before="100" w:after="60"/>
      <w:jc w:val="center"/>
      <w:outlineLvl w:val="0"/>
    </w:pPr>
    <w:rPr>
      <w:rFonts w:ascii="Cambria" w:hAnsi="Cambria" w:eastAsia="黑体"/>
      <w:bCs/>
      <w:sz w:val="32"/>
      <w:szCs w:val="32"/>
    </w:r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en-US" w:eastAsia="en-US" w:bidi="en-US"/>
    </w:rPr>
  </w:style>
  <w:style w:type="paragraph" w:customStyle="1" w:styleId="12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en-US" w:eastAsia="en-US" w:bidi="en-US"/>
    </w:rPr>
  </w:style>
  <w:style w:type="paragraph" w:customStyle="1" w:styleId="13">
    <w:name w:val="样式 正文文本缩进 + 左侧:  2 字符 首行缩进:  2 字符"/>
    <w:basedOn w:val="5"/>
    <w:qFormat/>
    <w:uiPriority w:val="0"/>
    <w:pPr>
      <w:spacing w:line="360" w:lineRule="auto"/>
      <w:ind w:firstLine="420" w:firstLineChars="200"/>
      <w:jc w:val="both"/>
    </w:pPr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6"/>
    <customShpInfo spid="_x0000_s3074"/>
    <customShpInfo spid="_x0000_s3075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2194</Words>
  <Characters>2337</Characters>
  <TotalTime>7</TotalTime>
  <ScaleCrop>false</ScaleCrop>
  <LinksUpToDate>false</LinksUpToDate>
  <CharactersWithSpaces>2410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2020-08-03T09:31:00Z</dcterms:created>
  <dc:creator>微软用户</dc:creator>
  <cp:lastModifiedBy>誰汻誰天荒地鮱</cp:lastModifiedBy>
  <dcterms:modified xsi:type="dcterms:W3CDTF">2022-09-13T07:39:55Z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2020-08-03T00:00:00Z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BE77BB1D9B474A53A14F9DDFF1D4F334</vt:lpwstr>
  </property>
</Properties>
</file>