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1" w:name="_GoBack"/>
      <w:bookmarkEnd w:id="1"/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02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兰州城关物业服务集团有限公司</w:t>
            </w:r>
            <w:bookmarkEnd w:id="0"/>
          </w:p>
        </w:tc>
        <w:tc>
          <w:tcPr>
            <w:tcW w:w="14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EnMS：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EnMS：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sz w:val="21"/>
              </w:rPr>
              <w:pict>
                <v:shape id="_x0000_s2050" o:spid="_x0000_s2050" o:spt="32" type="#_x0000_t32" style="position:absolute;left:0pt;margin-left:305.9pt;margin-top:9.55pt;height:0.05pt;width:10.4pt;z-index:251661312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1" o:spid="_x0000_s2051" o:spt="32" type="#_x0000_t32" style="position:absolute;left:0pt;margin-left:213.65pt;margin-top:10.35pt;height:0.05pt;width:10.4pt;z-index:251660288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2" o:spid="_x0000_s2052" o:spt="32" type="#_x0000_t32" style="position:absolute;left:0pt;margin-left:133.65pt;margin-top:10.15pt;height:0.05pt;width:10.4pt;z-index:251662336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3" o:spid="_x0000_s2053" o:spt="32" type="#_x0000_t32" style="position:absolute;left:0pt;margin-left:53.8pt;margin-top:10.55pt;height:0.05pt;width:10.4pt;z-index:251659264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eastAsia="宋体"/>
                <w:sz w:val="21"/>
                <w:szCs w:val="21"/>
              </w:rPr>
              <w:t>成立管理处   日常管理服务   绿化、安保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应急准备与相应   </w:t>
            </w:r>
          </w:p>
          <w:p>
            <w:pPr>
              <w:snapToGrid w:val="0"/>
              <w:spacing w:line="42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服务质量评定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服务质量改进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主要能源参数：kgce/平方米；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spacing w:before="18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1、《中华人民共和国电力法》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2、《中华人民共和国节约能源法》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3、《中华人民共和国清洁生产法》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4、《中华人民共和国可再生能源法》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5、《国家重点节能技术推广目录（</w:t>
            </w:r>
            <w:r>
              <w:rPr>
                <w:rFonts w:ascii="Times New Roman" w:eastAsia="Times New Roman"/>
              </w:rPr>
              <w:t>1-6 批）》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hint="eastAsia" w:ascii="Times New Roman" w:eastAsia="Times New Roman"/>
                <w:lang w:val="en-US" w:eastAsia="zh-CN"/>
              </w:rPr>
              <w:t>6</w:t>
            </w:r>
            <w:r>
              <w:rPr>
                <w:rFonts w:ascii="Times New Roman" w:eastAsia="Times New Roman"/>
              </w:rPr>
              <w:t>、《企业节能量计算方法</w:t>
            </w:r>
            <w:r>
              <w:rPr>
                <w:rFonts w:ascii="Times New Roman" w:eastAsia="Times New Roman"/>
              </w:rPr>
              <w:fldChar w:fldCharType="begin"/>
            </w:r>
            <w:r>
              <w:rPr>
                <w:rFonts w:ascii="Times New Roman" w:eastAsia="Times New Roman"/>
              </w:rPr>
              <w:instrText xml:space="preserve"> HYPERLINK "http://www.csres.com/detail/204647.html" \h </w:instrText>
            </w:r>
            <w:r>
              <w:rPr>
                <w:rFonts w:ascii="Times New Roman" w:eastAsia="Times New Roman"/>
              </w:rPr>
              <w:fldChar w:fldCharType="separate"/>
            </w:r>
            <w:r>
              <w:rPr>
                <w:rFonts w:ascii="Times New Roman" w:eastAsia="Times New Roman"/>
              </w:rPr>
              <w:t>GB/T 13234-20</w:t>
            </w:r>
            <w:r>
              <w:rPr>
                <w:rFonts w:hint="eastAsia" w:ascii="Times New Roman" w:eastAsia="Times New Roman"/>
                <w:lang w:val="en-US" w:eastAsia="zh-CN"/>
              </w:rPr>
              <w:t>1</w:t>
            </w:r>
            <w:r>
              <w:rPr>
                <w:rFonts w:ascii="Times New Roman" w:eastAsia="Times New Roman"/>
              </w:rPr>
              <w:fldChar w:fldCharType="end"/>
            </w:r>
            <w:r>
              <w:rPr>
                <w:rFonts w:hint="eastAsia" w:ascii="Times New Roman" w:eastAsia="Times New Roman"/>
                <w:lang w:val="en-US" w:eastAsia="zh-CN"/>
              </w:rPr>
              <w:t>8</w:t>
            </w:r>
            <w:r>
              <w:rPr>
                <w:rFonts w:ascii="Times New Roman" w:eastAsia="Times New Roman"/>
              </w:rPr>
              <w:t>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hint="eastAsia" w:ascii="Times New Roman" w:eastAsia="Times New Roman"/>
                <w:lang w:val="en-US" w:eastAsia="zh-CN"/>
              </w:rPr>
              <w:t>7</w:t>
            </w:r>
            <w:r>
              <w:rPr>
                <w:rFonts w:ascii="Times New Roman" w:eastAsia="Times New Roman"/>
              </w:rPr>
              <w:t>、《企业能量平衡统计方法</w:t>
            </w:r>
            <w:r>
              <w:rPr>
                <w:rFonts w:ascii="Times New Roman" w:eastAsia="Times New Roman"/>
              </w:rPr>
              <w:fldChar w:fldCharType="begin"/>
            </w:r>
            <w:r>
              <w:rPr>
                <w:rFonts w:ascii="Times New Roman" w:eastAsia="Times New Roman"/>
              </w:rPr>
              <w:instrText xml:space="preserve"> HYPERLINK "http://www.csres.com/detail/56381.html" \h </w:instrText>
            </w:r>
            <w:r>
              <w:rPr>
                <w:rFonts w:ascii="Times New Roman" w:eastAsia="Times New Roman"/>
              </w:rPr>
              <w:fldChar w:fldCharType="separate"/>
            </w:r>
            <w:r>
              <w:rPr>
                <w:rFonts w:ascii="Times New Roman" w:eastAsia="Times New Roman"/>
              </w:rPr>
              <w:t>GB/T 16614-1996</w:t>
            </w:r>
            <w:r>
              <w:rPr>
                <w:rFonts w:ascii="Times New Roman" w:eastAsia="Times New Roman"/>
              </w:rPr>
              <w:fldChar w:fldCharType="end"/>
            </w:r>
            <w:r>
              <w:rPr>
                <w:rFonts w:ascii="Times New Roman" w:eastAsia="Times New Roman"/>
              </w:rPr>
              <w:t>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hint="eastAsia" w:ascii="Times New Roman" w:eastAsia="Times New Roman"/>
                <w:lang w:val="en-US" w:eastAsia="zh-CN"/>
              </w:rPr>
              <w:t>8</w:t>
            </w:r>
            <w:r>
              <w:rPr>
                <w:rFonts w:ascii="Times New Roman" w:eastAsia="Times New Roman"/>
              </w:rPr>
              <w:t xml:space="preserve">、《企业能量平衡表编制方法 </w:t>
            </w:r>
            <w:r>
              <w:rPr>
                <w:rFonts w:ascii="Times New Roman" w:eastAsia="Times New Roman"/>
              </w:rPr>
              <w:fldChar w:fldCharType="begin"/>
            </w:r>
            <w:r>
              <w:rPr>
                <w:rFonts w:ascii="Times New Roman" w:eastAsia="Times New Roman"/>
              </w:rPr>
              <w:instrText xml:space="preserve"> HYPERLINK "http://www.csres.com/detail/227580.html" \h </w:instrText>
            </w:r>
            <w:r>
              <w:rPr>
                <w:rFonts w:ascii="Times New Roman" w:eastAsia="Times New Roman"/>
              </w:rPr>
              <w:fldChar w:fldCharType="separate"/>
            </w:r>
            <w:r>
              <w:rPr>
                <w:rFonts w:ascii="Times New Roman" w:eastAsia="Times New Roman"/>
              </w:rPr>
              <w:t>GB/T 28751-2012</w:t>
            </w:r>
            <w:r>
              <w:rPr>
                <w:rFonts w:ascii="Times New Roman" w:eastAsia="Times New Roman"/>
              </w:rPr>
              <w:fldChar w:fldCharType="end"/>
            </w:r>
            <w:r>
              <w:rPr>
                <w:rFonts w:ascii="Times New Roman" w:eastAsia="Times New Roman"/>
              </w:rPr>
              <w:t>》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hint="eastAsia" w:ascii="Times New Roman" w:eastAsia="Times New Roman"/>
                <w:lang w:val="en-US" w:eastAsia="zh-CN"/>
              </w:rPr>
              <w:t>9</w:t>
            </w:r>
            <w:r>
              <w:rPr>
                <w:rFonts w:ascii="Times New Roman" w:eastAsia="Times New Roman"/>
              </w:rPr>
              <w:t>、企业能源平衡通则（</w:t>
            </w:r>
            <w:r>
              <w:rPr>
                <w:rFonts w:ascii="Times New Roman" w:eastAsia="Times New Roman"/>
              </w:rPr>
              <w:t>GB3484-2009）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hint="eastAsia" w:ascii="Times New Roman" w:eastAsia="Times New Roman"/>
                <w:lang w:val="en-US" w:eastAsia="zh-CN"/>
              </w:rPr>
              <w:t>0</w:t>
            </w:r>
            <w:r>
              <w:rPr>
                <w:rFonts w:ascii="Times New Roman" w:eastAsia="Times New Roman"/>
              </w:rPr>
              <w:t>、节能监测技术通则（</w:t>
            </w:r>
            <w:r>
              <w:rPr>
                <w:rFonts w:ascii="Times New Roman" w:eastAsia="Times New Roman"/>
              </w:rPr>
              <w:t>GB/T15316-2009）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hint="eastAsia" w:ascii="Times New Roman" w:eastAsia="Times New Roman"/>
                <w:lang w:val="en-US" w:eastAsia="zh-CN"/>
              </w:rPr>
              <w:t>1</w:t>
            </w:r>
            <w:r>
              <w:rPr>
                <w:rFonts w:ascii="Times New Roman" w:eastAsia="Times New Roman"/>
              </w:rPr>
              <w:t>、电力变压器经济运行（</w:t>
            </w:r>
            <w:r>
              <w:rPr>
                <w:rFonts w:ascii="Times New Roman" w:eastAsia="Times New Roman"/>
              </w:rPr>
              <w:t>GB13462-2008）</w:t>
            </w:r>
            <w:r>
              <w:rPr>
                <w:rFonts w:hint="eastAsia" w:ascii="Times New Roman" w:eastAsia="宋体"/>
                <w:lang w:eastAsia="zh-CN"/>
              </w:rPr>
              <w:t>、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hint="eastAsia" w:ascii="Times New Roman" w:eastAsia="Times New Roman"/>
                <w:lang w:val="en-US" w:eastAsia="zh-CN"/>
              </w:rPr>
              <w:t>2</w:t>
            </w:r>
            <w:r>
              <w:rPr>
                <w:rFonts w:ascii="Times New Roman" w:eastAsia="Times New Roman"/>
              </w:rPr>
              <w:t>、用能单位能源计量器具配备与管理通则（</w:t>
            </w:r>
            <w:r>
              <w:rPr>
                <w:rFonts w:ascii="Times New Roman" w:eastAsia="Times New Roman"/>
              </w:rPr>
              <w:t>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142240</wp:posOffset>
                  </wp:positionV>
                  <wp:extent cx="1416050" cy="781050"/>
                  <wp:effectExtent l="0" t="0" r="6350" b="635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144780</wp:posOffset>
                  </wp:positionV>
                  <wp:extent cx="792480" cy="372110"/>
                  <wp:effectExtent l="0" t="0" r="7620" b="8890"/>
                  <wp:wrapSquare wrapText="bothSides"/>
                  <wp:docPr id="1" name="图片 6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7AA3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2022-04-09T06:37:47Z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