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0261-2022-QEO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浙江自贸区闪汇能源有限公司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浙江自贸区闪汇能源有限公司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中国（浙江）自由贸易试验区舟山市定海区舟山港综合保税区企业服务中心301-15199室</w:t>
            </w:r>
            <w:bookmarkEnd w:id="6"/>
          </w:p>
        </w:tc>
        <w:tc>
          <w:tcPr>
            <w:tcW w:w="1242" w:type="dxa"/>
            <w:vMerge w:val="restart"/>
            <w:vAlign w:val="center"/>
          </w:tcPr>
          <w:p>
            <w:r>
              <w:rPr>
                <w:rFonts w:hint="eastAsia"/>
              </w:rPr>
              <w:t>邮编</w:t>
            </w:r>
          </w:p>
        </w:tc>
        <w:tc>
          <w:tcPr>
            <w:tcW w:w="1771" w:type="dxa"/>
          </w:tcPr>
          <w:p>
            <w:bookmarkStart w:id="7" w:name="注册邮编"/>
            <w:r>
              <w:t>316000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浙江省杭州市西湖区文二西路颐景园4-502</w:t>
            </w:r>
            <w:bookmarkEnd w:id="8"/>
          </w:p>
        </w:tc>
        <w:tc>
          <w:tcPr>
            <w:tcW w:w="1242" w:type="dxa"/>
            <w:vMerge w:val="continue"/>
            <w:vAlign w:val="center"/>
          </w:tcPr>
          <w:p/>
        </w:tc>
        <w:tc>
          <w:tcPr>
            <w:tcW w:w="1771" w:type="dxa"/>
          </w:tcPr>
          <w:p>
            <w:bookmarkStart w:id="9" w:name="办公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陈树春</w:t>
            </w:r>
            <w:bookmarkEnd w:id="10"/>
          </w:p>
        </w:tc>
        <w:tc>
          <w:tcPr>
            <w:tcW w:w="1313" w:type="dxa"/>
            <w:vAlign w:val="center"/>
          </w:tcPr>
          <w:p>
            <w:r>
              <w:rPr>
                <w:rFonts w:hint="eastAsia"/>
              </w:rPr>
              <w:t>电话.</w:t>
            </w:r>
          </w:p>
        </w:tc>
        <w:tc>
          <w:tcPr>
            <w:tcW w:w="2180" w:type="dxa"/>
            <w:vAlign w:val="center"/>
          </w:tcPr>
          <w:p>
            <w:bookmarkStart w:id="11" w:name="联系人电话"/>
            <w:r>
              <w:t>13735508000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乔晓伟</w:t>
            </w:r>
            <w:bookmarkEnd w:id="13"/>
          </w:p>
        </w:tc>
        <w:tc>
          <w:tcPr>
            <w:tcW w:w="1313" w:type="dxa"/>
            <w:vAlign w:val="center"/>
          </w:tcPr>
          <w:p>
            <w:r>
              <w:rPr>
                <w:rFonts w:hint="eastAsia"/>
              </w:rPr>
              <w:t>管理者代表</w:t>
            </w:r>
          </w:p>
        </w:tc>
        <w:tc>
          <w:tcPr>
            <w:tcW w:w="2180" w:type="dxa"/>
          </w:tcPr>
          <w:p>
            <w:bookmarkStart w:id="14" w:name="管理者代表"/>
            <w:r>
              <w:t>陈树春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color w:val="000000"/>
                <w:szCs w:val="18"/>
              </w:rPr>
            </w:pPr>
            <w:r>
              <w:rPr>
                <w:rFonts w:hint="eastAsia" w:ascii="宋体" w:hAnsi="宋体" w:eastAsia="宋体" w:cs="宋体"/>
                <w:b w:val="0"/>
                <w:bCs w:val="0"/>
                <w:kern w:val="2"/>
                <w:sz w:val="21"/>
                <w:szCs w:val="21"/>
                <w:highlight w:val="none"/>
              </w:rPr>
              <w:t>确认需求</w:t>
            </w:r>
            <w:r>
              <w:rPr>
                <w:rFonts w:hint="eastAsia" w:ascii="宋体" w:hAnsi="宋体" w:eastAsia="宋体" w:cs="Times New Roman"/>
                <w:b w:val="0"/>
                <w:bCs w:val="0"/>
                <w:kern w:val="2"/>
                <w:sz w:val="21"/>
                <w:szCs w:val="21"/>
                <w:highlight w:val="none"/>
              </w:rPr>
              <w:t>—签订合同—组织货源—实施采购—检验—交付</w:t>
            </w:r>
          </w:p>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2022年03月30日 上午至2022年03月31日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浙江省杭州市西湖区文二西路颐景园4-502</w:t>
            </w:r>
            <w:r>
              <w:rPr>
                <w:rFonts w:hint="eastAsia"/>
                <w:lang w:eastAsia="zh-CN"/>
              </w:rPr>
              <w:t>（</w:t>
            </w:r>
            <w:r>
              <w:rPr>
                <w:rFonts w:hint="eastAsia"/>
                <w:lang w:val="en-US" w:eastAsia="zh-CN"/>
              </w:rPr>
              <w:t>远程审核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Q：成品油、化工产品的销售（许可范围内）</w:t>
            </w:r>
          </w:p>
          <w:p>
            <w:r>
              <w:t>E：成品油、化工产品的销售（许可范围内）所涉及场所的相关环境管理活动</w:t>
            </w:r>
          </w:p>
          <w:p>
            <w:r>
              <w:t>O：成品油、化工产品的销售（许可范围内）所涉及场所的相关职业健康安全管理活动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Q：29.11.01;29.11.05</w:t>
            </w:r>
          </w:p>
          <w:p>
            <w:r>
              <w:t>E：29.11.01A;29.11.05A</w:t>
            </w:r>
          </w:p>
          <w:p>
            <w:r>
              <w:t>O：29.11.01A;29.11.05A</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84"/>
        <w:gridCol w:w="1572"/>
        <w:gridCol w:w="936"/>
        <w:gridCol w:w="1920"/>
        <w:gridCol w:w="266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484" w:type="dxa"/>
            <w:shd w:val="clear" w:color="auto" w:fill="F3F3F3"/>
            <w:tcMar>
              <w:left w:w="57" w:type="dxa"/>
              <w:right w:w="57" w:type="dxa"/>
            </w:tcMar>
          </w:tcPr>
          <w:p>
            <w:r>
              <w:rPr>
                <w:rFonts w:hint="eastAsia"/>
              </w:rPr>
              <w:t>组织名称及注册场所地址</w:t>
            </w:r>
          </w:p>
        </w:tc>
        <w:tc>
          <w:tcPr>
            <w:tcW w:w="1572" w:type="dxa"/>
            <w:shd w:val="clear" w:color="auto" w:fill="F3F3F3"/>
            <w:tcMar>
              <w:left w:w="57" w:type="dxa"/>
              <w:right w:w="57" w:type="dxa"/>
            </w:tcMar>
          </w:tcPr>
          <w:p>
            <w:r>
              <w:rPr>
                <w:rFonts w:hint="eastAsia"/>
              </w:rPr>
              <w:t>经营场所的地址</w:t>
            </w:r>
          </w:p>
          <w:p>
            <w:r>
              <w:rPr>
                <w:rFonts w:hint="eastAsia"/>
              </w:rPr>
              <w:t>（多现场和临时现场）</w:t>
            </w:r>
          </w:p>
        </w:tc>
        <w:tc>
          <w:tcPr>
            <w:tcW w:w="936" w:type="dxa"/>
            <w:shd w:val="clear" w:color="auto" w:fill="F3F3F3"/>
            <w:tcMar>
              <w:left w:w="57" w:type="dxa"/>
              <w:right w:w="57" w:type="dxa"/>
            </w:tcMar>
          </w:tcPr>
          <w:p>
            <w:r>
              <w:rPr>
                <w:rFonts w:hint="eastAsia"/>
              </w:rPr>
              <w:t>员工人数</w:t>
            </w:r>
          </w:p>
        </w:tc>
        <w:tc>
          <w:tcPr>
            <w:tcW w:w="1920" w:type="dxa"/>
            <w:shd w:val="clear" w:color="auto" w:fill="F3F3F3"/>
            <w:tcMar>
              <w:left w:w="57" w:type="dxa"/>
              <w:right w:w="57" w:type="dxa"/>
            </w:tcMar>
          </w:tcPr>
          <w:p>
            <w:r>
              <w:rPr>
                <w:rFonts w:hint="eastAsia"/>
              </w:rPr>
              <w:t>审核范围（产品和过程）</w:t>
            </w:r>
          </w:p>
          <w:p/>
          <w:p/>
        </w:tc>
        <w:tc>
          <w:tcPr>
            <w:tcW w:w="266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484"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浙江自贸区闪汇能源有限公司</w:t>
            </w:r>
            <w:r>
              <w:rPr>
                <w:rFonts w:hint="eastAsia"/>
                <w:sz w:val="21"/>
                <w:szCs w:val="21"/>
                <w:lang w:eastAsia="zh-CN"/>
              </w:rPr>
              <w:t>，</w:t>
            </w:r>
            <w:r>
              <w:rPr>
                <w:sz w:val="21"/>
                <w:szCs w:val="21"/>
              </w:rPr>
              <w:t>中国（浙江）自由贸易试验区舟山市定海区舟山港综合保税区企业服务中心301-15199室</w:t>
            </w:r>
          </w:p>
        </w:tc>
        <w:tc>
          <w:tcPr>
            <w:tcW w:w="1572"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浙江省杭州市西湖区文二西路颐景园4-502</w:t>
            </w:r>
          </w:p>
        </w:tc>
        <w:tc>
          <w:tcPr>
            <w:tcW w:w="936" w:type="dxa"/>
            <w:vAlign w:val="center"/>
          </w:tcPr>
          <w:p>
            <w:pPr>
              <w:spacing w:before="40" w:after="40"/>
              <w:rPr>
                <w:rFonts w:hint="eastAsia" w:ascii="Times New Roman" w:hAnsi="Times New Roman" w:eastAsia="黑体" w:cs="Times New Roman"/>
                <w:kern w:val="2"/>
                <w:sz w:val="21"/>
                <w:szCs w:val="21"/>
                <w:lang w:val="en-US" w:eastAsia="ja-JP" w:bidi="ar-SA"/>
              </w:rPr>
            </w:pPr>
            <w:r>
              <w:rPr>
                <w:rFonts w:hint="eastAsia" w:eastAsia="黑体"/>
                <w:szCs w:val="21"/>
                <w:lang w:val="en-US" w:eastAsia="zh-CN"/>
              </w:rPr>
              <w:t>8</w:t>
            </w:r>
          </w:p>
        </w:tc>
        <w:tc>
          <w:tcPr>
            <w:tcW w:w="1920" w:type="dxa"/>
            <w:vAlign w:val="center"/>
          </w:tcPr>
          <w:p>
            <w:r>
              <w:t>：成品油、化工产品的销售（许可范围内）</w:t>
            </w:r>
          </w:p>
          <w:p>
            <w:r>
              <w:t>E：成品油、化工产品的销售（许可范围内）所涉及场所的相关环境管理活动</w:t>
            </w:r>
          </w:p>
          <w:p>
            <w:pPr>
              <w:pStyle w:val="22"/>
              <w:rPr>
                <w:rFonts w:ascii="Times New Roman" w:hAnsi="Times New Roman" w:eastAsia="黑体" w:cs="Arial"/>
                <w:kern w:val="2"/>
                <w:sz w:val="21"/>
                <w:szCs w:val="21"/>
                <w:lang w:val="en-US" w:eastAsia="ja-JP" w:bidi="ar-SA"/>
              </w:rPr>
            </w:pPr>
            <w:r>
              <w:t>O：成品油、化工产品的销售（许可范围内）所涉及场所的相关职业健康安全管理活动</w:t>
            </w:r>
          </w:p>
        </w:tc>
        <w:tc>
          <w:tcPr>
            <w:tcW w:w="2665" w:type="dxa"/>
            <w:vAlign w:val="center"/>
          </w:tcPr>
          <w:p>
            <w:pPr>
              <w:rPr>
                <w:rFonts w:ascii="宋体" w:hAnsi="宋体"/>
                <w:b/>
                <w:sz w:val="21"/>
                <w:szCs w:val="21"/>
              </w:rPr>
            </w:pPr>
            <w:r>
              <w:rPr>
                <w:rFonts w:hint="eastAsia" w:ascii="宋体" w:hAnsi="宋体"/>
                <w:b/>
                <w:sz w:val="21"/>
                <w:szCs w:val="21"/>
              </w:rPr>
              <w:t xml:space="preserve">■GB/T19001-2016/ISO 9001:2015  □GB/T 50430-2017    </w:t>
            </w:r>
          </w:p>
          <w:p>
            <w:pPr>
              <w:rPr>
                <w:rFonts w:ascii="宋体" w:hAnsi="宋体"/>
                <w:b/>
                <w:sz w:val="21"/>
                <w:szCs w:val="21"/>
              </w:rPr>
            </w:pPr>
            <w:r>
              <w:rPr>
                <w:rFonts w:hint="eastAsia" w:ascii="宋体" w:hAnsi="宋体"/>
                <w:b/>
                <w:sz w:val="21"/>
                <w:szCs w:val="21"/>
              </w:rPr>
              <w:t>■GB/T24001-2016/ISO 14001:2015 ■GB/T 45001-2020/ISO45001：2018</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zCs w:val="21"/>
              </w:rPr>
              <w:t>是</w:t>
            </w:r>
          </w:p>
        </w:tc>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李蒙生</w:t>
            </w:r>
          </w:p>
        </w:tc>
        <w:tc>
          <w:tcPr>
            <w:tcW w:w="1089" w:type="dxa"/>
            <w:vAlign w:val="center"/>
          </w:tcPr>
          <w:p>
            <w:r>
              <w:t>组长</w:t>
            </w:r>
          </w:p>
        </w:tc>
        <w:tc>
          <w:tcPr>
            <w:tcW w:w="711" w:type="dxa"/>
            <w:vAlign w:val="center"/>
          </w:tcPr>
          <w:p>
            <w:r>
              <w:t>男</w:t>
            </w:r>
          </w:p>
        </w:tc>
        <w:tc>
          <w:tcPr>
            <w:tcW w:w="3870" w:type="dxa"/>
            <w:vAlign w:val="center"/>
          </w:tcPr>
          <w:p>
            <w:r>
              <w:t>2020-N1QMS-1237307</w:t>
            </w:r>
          </w:p>
          <w:p>
            <w:r>
              <w:t>2020-N1EMS-1237307</w:t>
            </w:r>
          </w:p>
          <w:p>
            <w:r>
              <w:t>2020-N1OHSMS-1237307</w:t>
            </w:r>
          </w:p>
        </w:tc>
        <w:tc>
          <w:tcPr>
            <w:tcW w:w="2179" w:type="dxa"/>
            <w:vAlign w:val="center"/>
          </w:tcPr>
          <w:p>
            <w:r>
              <w:t>Q:29.11.01,29.11.05</w:t>
            </w:r>
          </w:p>
          <w:p>
            <w:r>
              <w:t>E:29.11.01,29.11.05</w:t>
            </w:r>
          </w:p>
          <w:p>
            <w:r>
              <w:t>O:29.11.01,29.11.05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组员</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张亮</w:t>
            </w:r>
          </w:p>
        </w:tc>
        <w:tc>
          <w:tcPr>
            <w:tcW w:w="1089" w:type="dxa"/>
            <w:vAlign w:val="center"/>
          </w:tcPr>
          <w:p>
            <w:r>
              <w:t>组员</w:t>
            </w:r>
          </w:p>
        </w:tc>
        <w:tc>
          <w:tcPr>
            <w:tcW w:w="711" w:type="dxa"/>
            <w:vAlign w:val="center"/>
          </w:tcPr>
          <w:p>
            <w:r>
              <w:t>男</w:t>
            </w:r>
          </w:p>
        </w:tc>
        <w:tc>
          <w:tcPr>
            <w:tcW w:w="3870" w:type="dxa"/>
            <w:vAlign w:val="center"/>
          </w:tcPr>
          <w:p>
            <w:r>
              <w:t>2021-N0QMS-1280463</w:t>
            </w:r>
          </w:p>
        </w:tc>
        <w:tc>
          <w:tcPr>
            <w:tcW w:w="2179" w:type="dxa"/>
            <w:vAlign w:val="center"/>
          </w:tcPr>
          <w:p>
            <w:r>
              <w:t>Q:29.11.05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开具一般不符合报告在20工作日之内，针对不符合原因制定并实施纠正措施。验证方式见《不符合项报告》。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5475" cy="332105"/>
                  <wp:effectExtent l="0" t="0" r="14605" b="3175"/>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6"/>
                          <a:stretch>
                            <a:fillRect/>
                          </a:stretch>
                        </pic:blipFill>
                        <pic:spPr>
                          <a:xfrm>
                            <a:off x="0" y="0"/>
                            <a:ext cx="625475" cy="332105"/>
                          </a:xfrm>
                          <a:prstGeom prst="rect">
                            <a:avLst/>
                          </a:prstGeom>
                        </pic:spPr>
                      </pic:pic>
                    </a:graphicData>
                  </a:graphic>
                </wp:anchor>
              </w:drawing>
            </w:r>
          </w:p>
          <w:p/>
        </w:tc>
        <w:tc>
          <w:tcPr>
            <w:tcW w:w="2764" w:type="dxa"/>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日期</w:t>
            </w:r>
          </w:p>
        </w:tc>
        <w:tc>
          <w:tcPr>
            <w:tcW w:w="2766" w:type="dxa"/>
            <w:tcMar>
              <w:left w:w="113" w:type="dxa"/>
            </w:tcMar>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2022.4.2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□新产品设计开发□原材料采购</w:t>
            </w:r>
            <w:r>
              <w:rPr>
                <w:rFonts w:hint="eastAsia"/>
              </w:rPr>
              <w:sym w:font="Wingdings 2" w:char="0052"/>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240" w:lineRule="auto"/>
              <w:ind w:firstLine="420" w:firstLineChars="200"/>
              <w:jc w:val="both"/>
              <w:rPr>
                <w:u w:val="single"/>
              </w:rPr>
            </w:pPr>
            <w:r>
              <w:rPr>
                <w:rFonts w:hint="eastAsia" w:ascii="宋体" w:hAnsi="宋体" w:cs="仿宋"/>
                <w:b w:val="0"/>
                <w:bCs w:val="0"/>
                <w:sz w:val="21"/>
                <w:szCs w:val="21"/>
                <w:highlight w:val="none"/>
                <w:lang w:eastAsia="zh-CN"/>
              </w:rPr>
              <w:t>顾客至上，优质高效，持续改进，为顾客及时提供满意的产品和服务。</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cs="宋体" w:asciiTheme="minorEastAsia" w:hAnsiTheme="minorEastAsia" w:eastAsiaTheme="minorEastAsia"/>
                      <w:b w:val="0"/>
                      <w:bCs w:val="0"/>
                      <w:color w:val="auto"/>
                      <w:sz w:val="21"/>
                      <w:szCs w:val="21"/>
                      <w:highlight w:val="none"/>
                    </w:rPr>
                    <w:t>重要法律文书、材料丢失风险</w:t>
                  </w:r>
                </w:p>
              </w:tc>
              <w:tc>
                <w:tcPr>
                  <w:tcW w:w="3965" w:type="dxa"/>
                </w:tcPr>
                <w:p>
                  <w:pPr>
                    <w:shd w:val="clear" w:color="auto" w:fill="C7DAF1" w:themeFill="text2" w:themeFillTint="32"/>
                  </w:pPr>
                  <w:r>
                    <w:rPr>
                      <w:rFonts w:hint="eastAsia" w:ascii="仿宋" w:hAnsi="仿宋" w:eastAsia="仿宋"/>
                      <w:sz w:val="24"/>
                    </w:rPr>
                    <w:t>严格执行档案管理制度，专人负责管理，严格履行交接、借阅签字审批手续。</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仿宋" w:hAnsi="仿宋" w:eastAsia="仿宋"/>
                      <w:sz w:val="24"/>
                    </w:rPr>
                    <w:t>用工法律风险</w:t>
                  </w:r>
                </w:p>
              </w:tc>
              <w:tc>
                <w:tcPr>
                  <w:tcW w:w="3965" w:type="dxa"/>
                </w:tcPr>
                <w:p>
                  <w:pPr>
                    <w:shd w:val="clear" w:color="auto" w:fill="C7DAF1" w:themeFill="text2" w:themeFillTint="32"/>
                  </w:pPr>
                  <w:r>
                    <w:rPr>
                      <w:rFonts w:hint="eastAsia" w:ascii="仿宋" w:hAnsi="仿宋" w:eastAsia="仿宋"/>
                      <w:sz w:val="24"/>
                    </w:rPr>
                    <w:t>加强员工相关法律法规学习，及时与员工进行沟通交流。</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cs="宋体" w:asciiTheme="minorEastAsia" w:hAnsiTheme="minorEastAsia" w:eastAsiaTheme="minorEastAsia"/>
                      <w:b w:val="0"/>
                      <w:bCs w:val="0"/>
                      <w:color w:val="auto"/>
                      <w:sz w:val="21"/>
                      <w:szCs w:val="21"/>
                      <w:highlight w:val="none"/>
                    </w:rPr>
                    <w:t>公司机密泄露风险</w:t>
                  </w:r>
                </w:p>
              </w:tc>
              <w:tc>
                <w:tcPr>
                  <w:tcW w:w="3965" w:type="dxa"/>
                </w:tcPr>
                <w:p>
                  <w:pPr>
                    <w:shd w:val="clear" w:color="auto" w:fill="C7DAF1" w:themeFill="text2" w:themeFillTint="32"/>
                  </w:pPr>
                  <w:r>
                    <w:rPr>
                      <w:rFonts w:hint="eastAsia" w:ascii="仿宋" w:hAnsi="仿宋" w:eastAsia="仿宋"/>
                      <w:sz w:val="24"/>
                    </w:rPr>
                    <w:t>加强内部员工管理，严格遵守公司保密制度。</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仿宋" w:hAnsi="仿宋" w:eastAsia="仿宋"/>
                      <w:sz w:val="24"/>
                    </w:rPr>
                    <w:t>重大工伤事故风险</w:t>
                  </w:r>
                </w:p>
              </w:tc>
              <w:tc>
                <w:tcPr>
                  <w:tcW w:w="3965" w:type="dxa"/>
                </w:tcPr>
                <w:p>
                  <w:pPr>
                    <w:shd w:val="clear" w:color="auto" w:fill="C7DAF1" w:themeFill="text2" w:themeFillTint="32"/>
                  </w:pPr>
                  <w:r>
                    <w:rPr>
                      <w:rFonts w:hint="eastAsia" w:ascii="仿宋" w:hAnsi="仿宋" w:eastAsia="仿宋"/>
                      <w:sz w:val="24"/>
                    </w:rPr>
                    <w:t>加强生产安全管理，切实做好安全防范措施，加强安全监督检查，发现隐患及时排除。</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cs="宋体" w:asciiTheme="minorEastAsia" w:hAnsiTheme="minorEastAsia" w:eastAsiaTheme="minorEastAsia"/>
                      <w:b w:val="0"/>
                      <w:bCs w:val="0"/>
                      <w:color w:val="auto"/>
                      <w:sz w:val="21"/>
                      <w:szCs w:val="21"/>
                      <w:highlight w:val="none"/>
                    </w:rPr>
                  </w:pPr>
                  <w:r>
                    <w:rPr>
                      <w:rFonts w:ascii="仿宋" w:hAnsi="仿宋" w:eastAsia="仿宋" w:cs="微软雅黑"/>
                      <w:sz w:val="24"/>
                    </w:rPr>
                    <w:t>质量管理</w:t>
                  </w:r>
                </w:p>
              </w:tc>
              <w:tc>
                <w:tcPr>
                  <w:tcW w:w="3965" w:type="dxa"/>
                </w:tcPr>
                <w:p>
                  <w:pPr>
                    <w:widowControl/>
                    <w:numPr>
                      <w:numId w:val="0"/>
                    </w:numPr>
                    <w:ind w:leftChars="0"/>
                    <w:jc w:val="left"/>
                  </w:pPr>
                  <w:r>
                    <w:rPr>
                      <w:rFonts w:ascii="仿宋" w:hAnsi="仿宋" w:eastAsia="仿宋" w:cs="微软雅黑"/>
                      <w:sz w:val="24"/>
                    </w:rPr>
                    <w:t>验收人员应根据采购合同及质量检验部门出具的质量检验证明，重点关注采购合同/发票等原始单据与采购物资的质量/数量/规格型号等是否一致。</w:t>
                  </w:r>
                </w:p>
              </w:tc>
              <w:tc>
                <w:tcPr>
                  <w:tcW w:w="1717" w:type="dxa"/>
                </w:tcPr>
                <w:p>
                  <w:pPr>
                    <w:shd w:val="clear" w:color="auto" w:fill="C7DAF1" w:themeFill="text2" w:themeFillTint="32"/>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9"/>
              <w:gridCol w:w="2838"/>
              <w:gridCol w:w="1248"/>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02"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27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59"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rPr>
                    <w:t>培训计划实施率为100%；</w:t>
                  </w:r>
                </w:p>
              </w:tc>
              <w:tc>
                <w:tcPr>
                  <w:tcW w:w="2902"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lang w:val="en-GB" w:eastAsia="zh-CN" w:bidi="ar-SA"/>
                    </w:rPr>
                  </w:pPr>
                  <w:r>
                    <w:rPr>
                      <w:rFonts w:hint="eastAsia" w:eastAsia="宋体"/>
                      <w:color w:val="000000"/>
                      <w:szCs w:val="18"/>
                      <w:lang w:val="en-US" w:eastAsia="zh-CN"/>
                    </w:rPr>
                    <w:t>实际完成</w:t>
                  </w:r>
                </w:p>
              </w:tc>
              <w:tc>
                <w:tcPr>
                  <w:tcW w:w="1270"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lang w:val="en-GB" w:eastAsia="zh-CN" w:bidi="ar-SA"/>
                    </w:rPr>
                  </w:pPr>
                  <w:r>
                    <w:rPr>
                      <w:rFonts w:hint="eastAsia"/>
                      <w:color w:val="000000"/>
                      <w:szCs w:val="18"/>
                      <w:lang w:val="en-US" w:eastAsia="zh-CN"/>
                    </w:rPr>
                    <w:t>综合部</w:t>
                  </w:r>
                </w:p>
              </w:tc>
              <w:tc>
                <w:tcPr>
                  <w:tcW w:w="1659"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lang w:val="en-GB"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rPr>
                    <w:t xml:space="preserve">文件保存完好率100% </w:t>
                  </w:r>
                </w:p>
              </w:tc>
              <w:tc>
                <w:tcPr>
                  <w:tcW w:w="2902"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lang w:val="en-US" w:eastAsia="zh-CN"/>
                    </w:rPr>
                    <w:t>实际完成</w:t>
                  </w:r>
                </w:p>
              </w:tc>
              <w:tc>
                <w:tcPr>
                  <w:tcW w:w="1270"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综合部</w:t>
                  </w:r>
                </w:p>
              </w:tc>
              <w:tc>
                <w:tcPr>
                  <w:tcW w:w="1659"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rPr>
                    <w:t>固体废弃物处理率</w:t>
                  </w:r>
                  <w:r>
                    <w:rPr>
                      <w:rFonts w:hint="eastAsia" w:eastAsia="宋体"/>
                      <w:color w:val="000000"/>
                      <w:szCs w:val="18"/>
                      <w:lang w:val="en-US" w:eastAsia="zh-CN"/>
                    </w:rPr>
                    <w:t>100</w:t>
                  </w:r>
                  <w:r>
                    <w:rPr>
                      <w:rFonts w:hint="eastAsia" w:eastAsia="宋体"/>
                      <w:color w:val="000000"/>
                      <w:szCs w:val="18"/>
                    </w:rPr>
                    <w:t>％</w:t>
                  </w:r>
                </w:p>
              </w:tc>
              <w:tc>
                <w:tcPr>
                  <w:tcW w:w="2902"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lang w:val="en-US" w:eastAsia="zh-CN"/>
                    </w:rPr>
                    <w:t>实际完成</w:t>
                  </w:r>
                </w:p>
              </w:tc>
              <w:tc>
                <w:tcPr>
                  <w:tcW w:w="1270"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各部门</w:t>
                  </w:r>
                </w:p>
              </w:tc>
              <w:tc>
                <w:tcPr>
                  <w:tcW w:w="1659"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rPr>
                    <w:t>顾客满意度≥</w:t>
                  </w:r>
                  <w:r>
                    <w:rPr>
                      <w:rFonts w:eastAsia="宋体"/>
                      <w:color w:val="000000"/>
                      <w:szCs w:val="18"/>
                    </w:rPr>
                    <w:t>9</w:t>
                  </w:r>
                  <w:r>
                    <w:rPr>
                      <w:rFonts w:hint="eastAsia" w:eastAsia="宋体"/>
                      <w:color w:val="000000"/>
                      <w:szCs w:val="18"/>
                    </w:rPr>
                    <w:t>0</w:t>
                  </w:r>
                  <w:r>
                    <w:rPr>
                      <w:rFonts w:hint="eastAsia" w:eastAsia="宋体"/>
                      <w:color w:val="000000"/>
                      <w:szCs w:val="18"/>
                      <w:lang w:val="en-US" w:eastAsia="zh-CN"/>
                    </w:rPr>
                    <w:t>分</w:t>
                  </w:r>
                </w:p>
              </w:tc>
              <w:tc>
                <w:tcPr>
                  <w:tcW w:w="2902"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lang w:val="en-US" w:eastAsia="zh-CN"/>
                    </w:rPr>
                    <w:t>实际完成</w:t>
                  </w:r>
                </w:p>
              </w:tc>
              <w:tc>
                <w:tcPr>
                  <w:tcW w:w="1270"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业务部</w:t>
                  </w:r>
                </w:p>
              </w:tc>
              <w:tc>
                <w:tcPr>
                  <w:tcW w:w="1659"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rPr>
                    <w:t>采购产品合格率98%</w:t>
                  </w:r>
                </w:p>
              </w:tc>
              <w:tc>
                <w:tcPr>
                  <w:tcW w:w="2902"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lang w:val="en-US" w:eastAsia="zh-CN"/>
                    </w:rPr>
                    <w:t>实际完成</w:t>
                  </w:r>
                </w:p>
              </w:tc>
              <w:tc>
                <w:tcPr>
                  <w:tcW w:w="1270"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业务部</w:t>
                  </w:r>
                </w:p>
              </w:tc>
              <w:tc>
                <w:tcPr>
                  <w:tcW w:w="1659" w:type="dxa"/>
                  <w:shd w:val="clear" w:color="auto" w:fill="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rPr>
                    <w:t>顾客反馈意见处理率为100%</w:t>
                  </w:r>
                </w:p>
              </w:tc>
              <w:tc>
                <w:tcPr>
                  <w:tcW w:w="0" w:type="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eastAsia="宋体"/>
                      <w:color w:val="000000"/>
                      <w:szCs w:val="18"/>
                      <w:lang w:val="en-US" w:eastAsia="zh-CN"/>
                    </w:rPr>
                    <w:t>实际完成</w:t>
                  </w:r>
                </w:p>
              </w:tc>
              <w:tc>
                <w:tcPr>
                  <w:tcW w:w="0" w:type="auto"/>
                  <w:vAlign w:val="center"/>
                </w:tcPr>
                <w:p>
                  <w:pPr>
                    <w:widowControl/>
                    <w:spacing w:before="40"/>
                    <w:jc w:val="left"/>
                    <w:rPr>
                      <w:rFonts w:hint="eastAsia"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业务部</w:t>
                  </w:r>
                </w:p>
              </w:tc>
              <w:tc>
                <w:tcPr>
                  <w:tcW w:w="0" w:type="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eastAsia="宋体"/>
                      <w:color w:val="000000"/>
                      <w:szCs w:val="18"/>
                    </w:rPr>
                    <w:t>杜绝火灾</w:t>
                  </w:r>
                </w:p>
              </w:tc>
              <w:tc>
                <w:tcPr>
                  <w:tcW w:w="0" w:type="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eastAsia="宋体"/>
                      <w:color w:val="000000"/>
                      <w:szCs w:val="18"/>
                      <w:lang w:val="en-US" w:eastAsia="zh-CN"/>
                    </w:rPr>
                    <w:t>实际完成</w:t>
                  </w:r>
                </w:p>
              </w:tc>
              <w:tc>
                <w:tcPr>
                  <w:tcW w:w="0" w:type="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color w:val="000000"/>
                      <w:szCs w:val="18"/>
                      <w:lang w:val="en-US" w:eastAsia="zh-CN"/>
                    </w:rPr>
                    <w:t>安全部</w:t>
                  </w:r>
                </w:p>
              </w:tc>
              <w:tc>
                <w:tcPr>
                  <w:tcW w:w="0" w:type="auto"/>
                  <w:vAlign w:val="top"/>
                </w:tcPr>
                <w:p>
                  <w:pPr>
                    <w:widowControl/>
                    <w:spacing w:before="40"/>
                    <w:jc w:val="left"/>
                    <w:rPr>
                      <w:rFonts w:ascii="Times New Roman" w:hAnsi="Times New Roman" w:eastAsia="宋体" w:cs="Times New Roman"/>
                      <w:color w:val="000000"/>
                      <w:kern w:val="2"/>
                      <w:sz w:val="21"/>
                      <w:szCs w:val="18"/>
                      <w:lang w:val="en-US" w:eastAsia="zh-CN" w:bidi="ar-SA"/>
                    </w:rPr>
                  </w:pPr>
                  <w:r>
                    <w:rPr>
                      <w:rFonts w:hint="eastAsia"/>
                    </w:rPr>
                    <w:t>目标已实现</w:t>
                  </w: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color w:val="000000"/>
                <w:u w:val="single"/>
                <w:lang w:val="en-US" w:eastAsia="zh-CN"/>
              </w:rPr>
              <w:t>办公电脑、电话、传真机、打印机</w:t>
            </w:r>
          </w:p>
          <w:p>
            <w:pPr>
              <w:shd w:val="clear" w:color="auto" w:fill="C7DAF1" w:themeFill="text2" w:themeFillTint="32"/>
            </w:pPr>
            <w:r>
              <w:rPr>
                <w:rFonts w:hint="eastAsia"/>
              </w:rPr>
              <w:t>特种设备：不适用</w:t>
            </w:r>
          </w:p>
          <w:p>
            <w:pPr>
              <w:shd w:val="clear" w:color="auto" w:fill="C7DAF1" w:themeFill="text2" w:themeFillTint="32"/>
              <w:rPr>
                <w:u w:val="single"/>
              </w:rPr>
            </w:pPr>
            <w:r>
              <w:rPr>
                <w:rFonts w:hint="eastAsia"/>
              </w:rPr>
              <w:t>特种设备管理：</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：服务流程检查表</w:t>
            </w:r>
          </w:p>
          <w:p>
            <w:pPr>
              <w:shd w:val="clear" w:color="auto" w:fill="C7DAF1" w:themeFill="text2" w:themeFillTint="32"/>
              <w:rPr>
                <w:rFonts w:hint="eastAsia" w:eastAsia="宋体"/>
                <w:lang w:eastAsia="zh-CN"/>
              </w:rPr>
            </w:pPr>
            <w:r>
              <w:rPr>
                <w:rFonts w:hint="eastAsia"/>
              </w:rPr>
              <w:t>计量器具的</w:t>
            </w:r>
            <w:r>
              <w:t>测量溯源</w:t>
            </w:r>
            <w:r>
              <w:rPr>
                <w:rFonts w:hint="eastAsia"/>
              </w:rPr>
              <w:t>方法：</w:t>
            </w:r>
            <w:r>
              <w:rPr>
                <w:rFonts w:hint="eastAsia"/>
                <w:lang w:val="en-US" w:eastAsia="zh-CN"/>
              </w:rPr>
              <w:t>不涉及</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内部知识: 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不涉及</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val="en-US" w:eastAsia="zh-CN"/>
              </w:rPr>
              <w:t>不适用</w:t>
            </w:r>
            <w:r>
              <w:rPr>
                <w:rFonts w:hint="eastAsia"/>
              </w:rPr>
              <w:t>）</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b w:val="0"/>
                      <w:bCs w:val="0"/>
                      <w:sz w:val="21"/>
                      <w:szCs w:val="21"/>
                      <w:highlight w:val="none"/>
                    </w:rPr>
                    <w:t>成品油、化工产品的销售（许可范围内）</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采购</w:t>
                  </w:r>
                </w:p>
              </w:tc>
              <w:tc>
                <w:tcPr>
                  <w:tcW w:w="3265" w:type="dxa"/>
                </w:tcPr>
                <w:p>
                  <w:pPr>
                    <w:shd w:val="clear" w:color="auto" w:fill="C7DAF1" w:themeFill="text2" w:themeFillTint="32"/>
                    <w:jc w:val="left"/>
                  </w:pPr>
                  <w:r>
                    <w:rPr>
                      <w:rFonts w:hint="eastAsia"/>
                      <w:lang w:val="en-US" w:eastAsia="zh-CN"/>
                    </w:rPr>
                    <w:t>对供方定期进行合格评定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个人信息</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ascii="Wingdings" w:hAnsi="Wingdings"/>
                <w:lang w:val="en-US" w:eastAsia="zh-CN"/>
              </w:rPr>
              <w:t>未发生</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eastAsia" w:ascii="Wingdings" w:hAnsi="Wingdings"/>
              </w:rPr>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rPr>
                <w:rFonts w:hint="default" w:eastAsia="宋体"/>
                <w:lang w:val="en-US" w:eastAsia="zh-CN"/>
              </w:rPr>
            </w:pPr>
            <w:r>
              <w:rPr>
                <w:rFonts w:hint="eastAsia"/>
                <w:color w:val="FF0000"/>
                <w:lang w:val="en-US" w:eastAsia="zh-CN"/>
              </w:rPr>
              <w:t>经</w:t>
            </w:r>
            <w:r>
              <w:rPr>
                <w:rFonts w:hint="eastAsia" w:ascii="Times New Roman" w:hAnsi="Times New Roman" w:cs="Times New Roman"/>
                <w:color w:val="FF0000"/>
                <w:lang w:val="en-US" w:eastAsia="zh-CN"/>
              </w:rPr>
              <w:t>查，未能提供审核组授权的证明资料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w:t>
            </w:r>
            <w:r>
              <w:rPr>
                <w:rFonts w:hint="eastAsia"/>
              </w:rPr>
              <w:sym w:font="Wingdings 2" w:char="00A3"/>
            </w:r>
            <w:r>
              <w:rPr>
                <w:rFonts w:hint="eastAsia"/>
              </w:rPr>
              <w:t>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240" w:lineRule="auto"/>
              <w:ind w:firstLine="420" w:firstLineChars="200"/>
              <w:jc w:val="both"/>
              <w:rPr>
                <w:rFonts w:hint="eastAsia"/>
              </w:rPr>
            </w:pPr>
            <w:r>
              <w:rPr>
                <w:rFonts w:hint="eastAsia"/>
              </w:rPr>
              <w:t>最高管理者制定了文件化的管理体系方针：</w:t>
            </w:r>
          </w:p>
          <w:p>
            <w:pPr>
              <w:spacing w:line="240" w:lineRule="auto"/>
              <w:ind w:firstLine="420" w:firstLineChars="200"/>
              <w:jc w:val="both"/>
              <w:rPr>
                <w:rFonts w:hint="eastAsia" w:ascii="宋体" w:hAnsi="宋体" w:cs="仿宋"/>
                <w:b w:val="0"/>
                <w:bCs w:val="0"/>
                <w:sz w:val="21"/>
                <w:szCs w:val="21"/>
                <w:highlight w:val="none"/>
                <w:lang w:eastAsia="zh-CN"/>
              </w:rPr>
            </w:pPr>
            <w:r>
              <w:rPr>
                <w:rFonts w:hint="eastAsia" w:ascii="宋体" w:hAnsi="宋体" w:cs="仿宋"/>
                <w:b w:val="0"/>
                <w:bCs w:val="0"/>
                <w:sz w:val="21"/>
                <w:szCs w:val="21"/>
                <w:highlight w:val="none"/>
                <w:lang w:eastAsia="zh-CN"/>
              </w:rPr>
              <w:t>坚持</w:t>
            </w:r>
            <w:r>
              <w:rPr>
                <w:rFonts w:hint="eastAsia" w:ascii="宋体" w:hAnsi="宋体" w:cs="仿宋"/>
                <w:b w:val="0"/>
                <w:bCs w:val="0"/>
                <w:sz w:val="21"/>
                <w:szCs w:val="21"/>
                <w:highlight w:val="none"/>
                <w:lang w:val="en-US" w:eastAsia="zh-CN"/>
              </w:rPr>
              <w:t>安全第一</w:t>
            </w:r>
            <w:r>
              <w:rPr>
                <w:rFonts w:hint="eastAsia" w:ascii="宋体" w:hAnsi="宋体" w:cs="仿宋"/>
                <w:b w:val="0"/>
                <w:bCs w:val="0"/>
                <w:sz w:val="21"/>
                <w:szCs w:val="21"/>
                <w:highlight w:val="none"/>
                <w:lang w:eastAsia="zh-CN"/>
              </w:rPr>
              <w:t xml:space="preserve">    预防事件发生   提高职业防护    保障职工健康</w:t>
            </w:r>
          </w:p>
          <w:p>
            <w:pPr>
              <w:spacing w:line="240" w:lineRule="auto"/>
              <w:ind w:firstLine="420" w:firstLineChars="200"/>
              <w:jc w:val="both"/>
            </w:pPr>
            <w:r>
              <w:rPr>
                <w:rFonts w:hint="eastAsia" w:ascii="宋体" w:hAnsi="宋体" w:cs="仿宋"/>
                <w:b w:val="0"/>
                <w:bCs w:val="0"/>
                <w:sz w:val="21"/>
                <w:szCs w:val="21"/>
                <w:highlight w:val="none"/>
                <w:lang w:eastAsia="zh-CN"/>
              </w:rPr>
              <w:t>遵守环保法律    致力污染预防  确保持续改进    提升管理绩效</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安全部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仿宋_GB2312" w:eastAsia="仿宋_GB2312"/>
                      <w:sz w:val="24"/>
                    </w:rPr>
                    <w:t>潜在火灾事故发生</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仿宋_GB2312" w:eastAsia="仿宋_GB2312"/>
                      <w:sz w:val="24"/>
                    </w:rPr>
                    <w:t>管理方案</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仿宋_GB2312" w:eastAsia="仿宋_GB2312"/>
                      <w:sz w:val="24"/>
                    </w:rPr>
                    <w:t>固体废弃物处理</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仿宋_GB2312" w:eastAsia="仿宋_GB2312"/>
                      <w:sz w:val="24"/>
                    </w:rPr>
                    <w:t>执行管理规定、程序文件规定</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24"/>
                    </w:rPr>
                    <w:t>固体废弃物处理率</w:t>
                  </w:r>
                  <w:r>
                    <w:rPr>
                      <w:rFonts w:hint="eastAsia"/>
                      <w:sz w:val="24"/>
                      <w:lang w:val="en-US" w:eastAsia="zh-CN"/>
                    </w:rPr>
                    <w:t>100</w:t>
                  </w:r>
                  <w:r>
                    <w:rPr>
                      <w:rFonts w:hint="eastAsia"/>
                      <w:sz w:val="24"/>
                    </w:rPr>
                    <w:t>％。</w:t>
                  </w:r>
                </w:p>
              </w:tc>
              <w:tc>
                <w:tcPr>
                  <w:tcW w:w="3136" w:type="dxa"/>
                  <w:shd w:val="clear" w:color="auto" w:fill="auto"/>
                  <w:vAlign w:val="center"/>
                </w:tcPr>
                <w:p>
                  <w:pPr>
                    <w:shd w:val="clear" w:color="auto" w:fill="EBF1DE" w:themeFill="accent3" w:themeFillTint="32"/>
                    <w:rPr>
                      <w:lang w:val="en-GB"/>
                    </w:rPr>
                  </w:pPr>
                  <w:r>
                    <w:rPr>
                      <w:rFonts w:hint="eastAsia" w:ascii="Times New Roman" w:hAnsi="Times New Roman" w:eastAsia="宋体" w:cs="Times New Roman"/>
                      <w:sz w:val="24"/>
                    </w:rPr>
                    <w:t>加强</w:t>
                  </w:r>
                  <w:r>
                    <w:rPr>
                      <w:rFonts w:hint="eastAsia" w:ascii="Times New Roman" w:hAnsi="Times New Roman" w:eastAsia="宋体" w:cs="Times New Roman"/>
                      <w:sz w:val="24"/>
                      <w:lang w:val="en-US" w:eastAsia="zh-CN"/>
                    </w:rPr>
                    <w:t>员工固废分类的培训，严格执行运行控制程序，确保固废分类</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24"/>
                    </w:rPr>
                    <w:t>杜绝火灾</w:t>
                  </w:r>
                </w:p>
              </w:tc>
              <w:tc>
                <w:tcPr>
                  <w:tcW w:w="3136" w:type="dxa"/>
                  <w:shd w:val="clear" w:color="auto" w:fill="auto"/>
                  <w:vAlign w:val="center"/>
                </w:tcPr>
                <w:p>
                  <w:pPr>
                    <w:shd w:val="clear" w:color="auto" w:fill="EBF1DE" w:themeFill="accent3" w:themeFillTint="32"/>
                    <w:rPr>
                      <w:rFonts w:ascii="宋体" w:hAnsi="宋体"/>
                    </w:rPr>
                  </w:pPr>
                  <w:r>
                    <w:rPr>
                      <w:rFonts w:hint="eastAsia" w:ascii="Times New Roman" w:hAnsi="Times New Roman" w:eastAsia="宋体" w:cs="Times New Roman"/>
                      <w:sz w:val="24"/>
                    </w:rPr>
                    <w:t>及时组织应急预案和响应的培训，并</w:t>
                  </w:r>
                  <w:r>
                    <w:rPr>
                      <w:rFonts w:hint="eastAsia" w:ascii="Times New Roman" w:hAnsi="Times New Roman" w:eastAsia="宋体" w:cs="Times New Roman"/>
                      <w:sz w:val="24"/>
                      <w:lang w:val="en-US" w:eastAsia="zh-CN"/>
                    </w:rPr>
                    <w:t>定期组织</w:t>
                  </w:r>
                  <w:r>
                    <w:rPr>
                      <w:rFonts w:hint="eastAsia" w:ascii="Times New Roman" w:hAnsi="Times New Roman" w:eastAsia="宋体" w:cs="Times New Roman"/>
                      <w:sz w:val="24"/>
                    </w:rPr>
                    <w:t>演练，不断增强员工的应急响应意识和技能</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安全部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ascii="Times New Roman" w:hAnsi="Times New Roman" w:eastAsia="宋体" w:cs="Times New Roman"/>
              </w:rPr>
              <w:t>台式电脑、打印机、笔记本电脑、电话</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不适用</w:t>
            </w:r>
          </w:p>
          <w:p>
            <w:pPr>
              <w:shd w:val="clear" w:color="auto" w:fill="EBF1DE" w:themeFill="accent3" w:themeFillTint="32"/>
            </w:pPr>
            <w:r>
              <w:rPr>
                <w:rFonts w:hint="eastAsia"/>
              </w:rPr>
              <w:t>特种设备：不适用</w:t>
            </w:r>
          </w:p>
          <w:p>
            <w:pPr>
              <w:shd w:val="clear" w:color="auto" w:fill="EBF1DE" w:themeFill="accent3" w:themeFillTint="32"/>
              <w:ind w:firstLine="1050" w:firstLineChars="500"/>
              <w:rPr>
                <w:rFonts w:hint="eastAsia" w:eastAsia="宋体"/>
                <w:lang w:val="en-US" w:eastAsia="zh-CN"/>
              </w:rPr>
            </w:pPr>
            <w:r>
              <w:rPr>
                <w:rFonts w:hint="eastAsia"/>
              </w:rPr>
              <w:t>辅助场所：</w:t>
            </w:r>
            <w:r>
              <w:rPr>
                <w:rFonts w:hint="eastAsia"/>
                <w:lang w:val="en-US" w:eastAsia="zh-CN"/>
              </w:rPr>
              <w:t>无</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rPr>
              <w:t>计量器具的</w:t>
            </w:r>
            <w:r>
              <w:t>测量溯源</w:t>
            </w:r>
            <w:r>
              <w:rPr>
                <w:rFonts w:hint="eastAsia"/>
              </w:rPr>
              <w:t>方法：</w:t>
            </w:r>
            <w:r>
              <w:rPr>
                <w:rFonts w:hint="eastAsia"/>
                <w:lang w:val="en-US" w:eastAsia="zh-CN"/>
              </w:rPr>
              <w:t>不涉及</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lang w:val="en-US" w:eastAsia="zh-CN"/>
              </w:rPr>
              <w:t>不涉及</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不涉及</w:t>
            </w:r>
          </w:p>
          <w:p>
            <w:pPr>
              <w:shd w:val="clear" w:color="auto" w:fill="EBF1DE" w:themeFill="accent3" w:themeFillTint="32"/>
            </w:pPr>
            <w:r>
              <w:rPr>
                <w:rFonts w:hint="eastAsia"/>
              </w:rPr>
              <w:t>特种设备作业人员：</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MSDS</w:t>
            </w:r>
            <w:r>
              <w:rPr>
                <w:rFonts w:hint="eastAsia" w:ascii="Wingdings" w:hAnsi="Wingdings"/>
              </w:rPr>
              <w:t>¨</w:t>
            </w:r>
            <w:r>
              <w:rPr>
                <w:rFonts w:hint="eastAsia"/>
              </w:rPr>
              <w:t>EMS认证证书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组织建立、实施和保持了适当的设计和开发过程，以确保后续的产品和服务的提供中满足环境相关的法律法规。</w:t>
            </w:r>
            <w:r>
              <w:rPr>
                <w:rFonts w:hint="eastAsia"/>
                <w:lang w:val="en-US" w:eastAsia="zh-CN"/>
              </w:rPr>
              <w:t>不涉及</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节水、节电</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合理利用</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生活污水</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生活垃圾定期交物业回收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无</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eastAsia="zh-CN"/>
              </w:rPr>
            </w:pPr>
            <w:r>
              <w:rPr>
                <w:rFonts w:hint="eastAsia"/>
              </w:rPr>
              <w:t>特种设备管理：</w:t>
            </w:r>
            <w:r>
              <w:rPr>
                <w:rFonts w:hint="eastAsia" w:ascii="Wingdings" w:hAnsi="Wingdings"/>
                <w:lang w:val="en-US" w:eastAsia="zh-CN"/>
              </w:rPr>
              <w:t>不涉及</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26</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自我检查的结果</w:t>
            </w:r>
            <w:r>
              <w:rPr>
                <w:rFonts w:hint="eastAsia" w:ascii="Wingdings" w:hAnsi="Wingdings"/>
              </w:rPr>
              <w:t>¨</w:t>
            </w:r>
            <w:r>
              <w:rPr>
                <w:rFonts w:hint="eastAsia"/>
              </w:rPr>
              <w:t>相关方投诉</w:t>
            </w:r>
            <w:r>
              <w:rPr>
                <w:rFonts w:hint="eastAsia" w:ascii="Wingdings" w:hAnsi="Wingdings"/>
              </w:rPr>
              <w:t>¨</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价值观□文化</w:t>
                  </w:r>
                  <w:r>
                    <w:rPr>
                      <w:rFonts w:hint="eastAsia"/>
                    </w:rPr>
                    <w:sym w:font="Wingdings 2" w:char="0052"/>
                  </w:r>
                  <w:r>
                    <w:rPr>
                      <w:rFonts w:hint="eastAsia"/>
                    </w:rPr>
                    <w:t>知识□绩效□工艺□设备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240" w:lineRule="auto"/>
              <w:ind w:firstLine="420" w:firstLineChars="200"/>
              <w:jc w:val="both"/>
              <w:rPr>
                <w:rFonts w:hint="eastAsia" w:ascii="宋体" w:hAnsi="宋体" w:cs="仿宋"/>
                <w:b w:val="0"/>
                <w:bCs w:val="0"/>
                <w:sz w:val="21"/>
                <w:szCs w:val="21"/>
                <w:highlight w:val="none"/>
                <w:lang w:eastAsia="zh-CN"/>
              </w:rPr>
            </w:pPr>
            <w:r>
              <w:rPr>
                <w:rFonts w:hint="eastAsia" w:ascii="宋体" w:hAnsi="宋体" w:cs="仿宋"/>
                <w:b w:val="0"/>
                <w:bCs w:val="0"/>
                <w:sz w:val="21"/>
                <w:szCs w:val="21"/>
                <w:highlight w:val="none"/>
                <w:lang w:eastAsia="zh-CN"/>
              </w:rPr>
              <w:t>坚持</w:t>
            </w:r>
            <w:r>
              <w:rPr>
                <w:rFonts w:hint="eastAsia" w:ascii="宋体" w:hAnsi="宋体" w:cs="仿宋"/>
                <w:b w:val="0"/>
                <w:bCs w:val="0"/>
                <w:sz w:val="21"/>
                <w:szCs w:val="21"/>
                <w:highlight w:val="none"/>
                <w:lang w:val="en-US" w:eastAsia="zh-CN"/>
              </w:rPr>
              <w:t>安全第一</w:t>
            </w:r>
            <w:r>
              <w:rPr>
                <w:rFonts w:hint="eastAsia" w:ascii="宋体" w:hAnsi="宋体" w:cs="仿宋"/>
                <w:b w:val="0"/>
                <w:bCs w:val="0"/>
                <w:sz w:val="21"/>
                <w:szCs w:val="21"/>
                <w:highlight w:val="none"/>
                <w:lang w:eastAsia="zh-CN"/>
              </w:rPr>
              <w:t xml:space="preserve">    预防事件发生   提高职业防护    保障职工健康</w:t>
            </w:r>
          </w:p>
          <w:p>
            <w:pPr>
              <w:spacing w:line="240" w:lineRule="auto"/>
              <w:ind w:firstLine="420" w:firstLineChars="200"/>
              <w:jc w:val="both"/>
              <w:rPr>
                <w:u w:val="single"/>
              </w:rPr>
            </w:pPr>
            <w:r>
              <w:rPr>
                <w:rFonts w:hint="eastAsia" w:ascii="宋体" w:hAnsi="宋体" w:cs="仿宋"/>
                <w:b w:val="0"/>
                <w:bCs w:val="0"/>
                <w:sz w:val="21"/>
                <w:szCs w:val="21"/>
                <w:highlight w:val="none"/>
                <w:lang w:eastAsia="zh-CN"/>
              </w:rPr>
              <w:t>遵守环保法律    致力污染预防  确保持续改进    提升管理绩效</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安全部</w:t>
            </w:r>
          </w:p>
          <w:p>
            <w:pPr>
              <w:rPr>
                <w:rFonts w:hint="eastAsia" w:eastAsia="宋体"/>
                <w:lang w:val="en-US" w:eastAsia="zh-CN"/>
              </w:rPr>
            </w:pPr>
            <w:r>
              <w:rPr>
                <w:rFonts w:hint="eastAsia"/>
              </w:rPr>
              <w:t>安全的主管部门是——</w:t>
            </w:r>
            <w:r>
              <w:rPr>
                <w:rFonts w:hint="eastAsia"/>
                <w:lang w:val="en-US" w:eastAsia="zh-CN"/>
              </w:rPr>
              <w:t>安全部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宋体" w:hAnsi="宋体" w:cs="仿宋"/>
                <w:b w:val="0"/>
                <w:bCs w:val="0"/>
                <w:sz w:val="21"/>
                <w:szCs w:val="21"/>
                <w:highlight w:val="none"/>
                <w:u w:val="single"/>
                <w:lang w:val="en-US" w:eastAsia="zh-CN"/>
              </w:rPr>
              <w:t>陈溪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火灾</w:t>
                  </w: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加强日常检查，选用质量合格的电气线路，外线电路增加把偶</w:t>
                  </w:r>
                  <w:r>
                    <w:rPr>
                      <w:rFonts w:hint="eastAsia" w:ascii="宋体" w:hAnsi="宋体" w:cs="宋体"/>
                      <w:i w:val="0"/>
                      <w:iCs w:val="0"/>
                      <w:color w:val="000000"/>
                      <w:kern w:val="0"/>
                      <w:sz w:val="20"/>
                      <w:szCs w:val="20"/>
                      <w:u w:val="none"/>
                      <w:lang w:val="en-US" w:eastAsia="zh-CN" w:bidi="ar"/>
                    </w:rPr>
                    <w:t>，安装过载保护装置，先用较粗的电缆等</w:t>
                  </w:r>
                </w:p>
              </w:tc>
              <w:tc>
                <w:tcPr>
                  <w:tcW w:w="1717" w:type="dxa"/>
                </w:tcPr>
                <w:p>
                  <w:pPr>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lang w:val="en-US" w:eastAsia="zh-CN"/>
                    </w:rPr>
                    <w:t>触电</w:t>
                  </w:r>
                </w:p>
              </w:tc>
              <w:tc>
                <w:tcPr>
                  <w:tcW w:w="396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安装漏电保护期，定期对电源插座等进行检查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sym w:font="Wingdings 2" w:char="00A3"/>
            </w:r>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全年无职业病事故发生</w:t>
                  </w:r>
                  <w:r>
                    <w:rPr>
                      <w:rFonts w:hint="eastAsia" w:ascii="Times New Roman" w:hAnsi="Times New Roman" w:cs="Times New Roman"/>
                      <w:lang w:val="en-US" w:eastAsia="zh-CN"/>
                    </w:rPr>
                    <w:t xml:space="preserve"> </w:t>
                  </w:r>
                </w:p>
              </w:tc>
              <w:tc>
                <w:tcPr>
                  <w:tcW w:w="3136" w:type="dxa"/>
                  <w:shd w:val="clear" w:color="auto" w:fill="auto"/>
                  <w:vAlign w:val="center"/>
                </w:tcPr>
                <w:p>
                  <w:pPr>
                    <w:rPr>
                      <w:lang w:val="en-GB"/>
                    </w:rPr>
                  </w:pPr>
                  <w:r>
                    <w:rPr>
                      <w:rFonts w:hint="eastAsia"/>
                      <w:sz w:val="24"/>
                    </w:rPr>
                    <w:t>加强对员工的</w:t>
                  </w:r>
                  <w:r>
                    <w:rPr>
                      <w:rFonts w:hint="eastAsia"/>
                      <w:sz w:val="24"/>
                      <w:lang w:val="en-US" w:eastAsia="zh-CN"/>
                    </w:rPr>
                    <w:t>质量、</w:t>
                  </w:r>
                  <w:r>
                    <w:rPr>
                      <w:rFonts w:hint="eastAsia"/>
                      <w:sz w:val="24"/>
                    </w:rPr>
                    <w:t>环境、职业健康安全教育，不断提高其</w:t>
                  </w:r>
                  <w:r>
                    <w:rPr>
                      <w:rFonts w:hint="eastAsia"/>
                      <w:sz w:val="24"/>
                      <w:lang w:val="en-US" w:eastAsia="zh-CN"/>
                    </w:rPr>
                    <w:t>质量、</w:t>
                  </w:r>
                  <w:r>
                    <w:rPr>
                      <w:rFonts w:hint="eastAsia"/>
                      <w:sz w:val="24"/>
                    </w:rPr>
                    <w:t>环保、安全意识</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全年无重伤、死亡事故</w:t>
                  </w:r>
                </w:p>
              </w:tc>
              <w:tc>
                <w:tcPr>
                  <w:tcW w:w="3136" w:type="dxa"/>
                  <w:shd w:val="clear" w:color="auto" w:fill="auto"/>
                  <w:vAlign w:val="center"/>
                </w:tcPr>
                <w:p>
                  <w:pPr>
                    <w:rPr>
                      <w:rFonts w:ascii="宋体" w:hAnsi="宋体"/>
                    </w:rPr>
                  </w:pPr>
                  <w:r>
                    <w:rPr>
                      <w:rFonts w:hint="eastAsia"/>
                      <w:sz w:val="24"/>
                    </w:rPr>
                    <w:t>加强对员工的</w:t>
                  </w:r>
                  <w:r>
                    <w:rPr>
                      <w:rFonts w:hint="eastAsia"/>
                      <w:sz w:val="24"/>
                      <w:lang w:val="en-US" w:eastAsia="zh-CN"/>
                    </w:rPr>
                    <w:t>质量、</w:t>
                  </w:r>
                  <w:r>
                    <w:rPr>
                      <w:rFonts w:hint="eastAsia"/>
                      <w:sz w:val="24"/>
                    </w:rPr>
                    <w:t>环境、职业健康安全教育，不断提高其</w:t>
                  </w:r>
                  <w:r>
                    <w:rPr>
                      <w:rFonts w:hint="eastAsia"/>
                      <w:sz w:val="24"/>
                      <w:lang w:val="en-US" w:eastAsia="zh-CN"/>
                    </w:rPr>
                    <w:t>质量、</w:t>
                  </w:r>
                  <w:r>
                    <w:rPr>
                      <w:rFonts w:hint="eastAsia"/>
                      <w:sz w:val="24"/>
                    </w:rPr>
                    <w:t>环保、安全意识</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w:t>
            </w:r>
          </w:p>
          <w:p>
            <w:pPr>
              <w:rPr>
                <w:u w:val="single"/>
              </w:rPr>
            </w:pPr>
            <w:r>
              <w:rPr>
                <w:rFonts w:hint="eastAsia"/>
              </w:rPr>
              <w:t>主要生产设备有：</w:t>
            </w:r>
            <w:r>
              <w:rPr>
                <w:rFonts w:hint="eastAsia" w:ascii="Times New Roman" w:hAnsi="Times New Roman" w:eastAsia="宋体" w:cs="Times New Roman"/>
              </w:rPr>
              <w:t>台式电脑、打印机、笔记本电脑、电话</w:t>
            </w:r>
          </w:p>
          <w:p>
            <w:r>
              <w:rPr>
                <w:rFonts w:hint="eastAsia"/>
              </w:rPr>
              <w:t>主要安全装置有：</w:t>
            </w:r>
          </w:p>
          <w:p>
            <w:r>
              <w:rPr>
                <w:rFonts w:hint="eastAsia"/>
              </w:rPr>
              <w:t>消防系统</w:t>
            </w:r>
          </w:p>
          <w:p>
            <w:pPr>
              <w:rPr>
                <w:u w:val="single"/>
              </w:rPr>
            </w:pPr>
          </w:p>
          <w:p>
            <w:r>
              <w:rPr>
                <w:rFonts w:hint="eastAsia"/>
              </w:rPr>
              <w:t>特种设备不适用</w:t>
            </w:r>
          </w:p>
          <w:p>
            <w:pPr>
              <w:ind w:firstLine="1050" w:firstLineChars="500"/>
              <w:rPr>
                <w:rFonts w:hint="eastAsia" w:eastAsia="宋体"/>
                <w:lang w:eastAsia="zh-CN"/>
              </w:rPr>
            </w:pPr>
            <w:r>
              <w:rPr>
                <w:rFonts w:hint="eastAsia"/>
              </w:rPr>
              <w:t>辅助场所：</w:t>
            </w:r>
            <w:r>
              <w:rPr>
                <w:rFonts w:hint="eastAsia" w:ascii="Wingdings" w:hAnsi="Wingdings"/>
                <w:lang w:val="en-US" w:eastAsia="zh-CN"/>
              </w:rPr>
              <w:t>无</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方法：</w:t>
            </w:r>
            <w:r>
              <w:rPr>
                <w:rFonts w:hint="eastAsia"/>
                <w:lang w:val="en-US" w:eastAsia="zh-CN"/>
              </w:rPr>
              <w:t>不适用</w:t>
            </w:r>
          </w:p>
          <w:p>
            <w:pPr>
              <w:rPr>
                <w:rFonts w:hint="eastAsia" w:eastAsia="宋体"/>
                <w:lang w:val="en-US" w:eastAsia="zh-CN"/>
              </w:rPr>
            </w:pPr>
            <w:r>
              <w:rPr>
                <w:rFonts w:hint="eastAsia"/>
              </w:rPr>
              <w:t>职业健康安全监测的计量器具有：</w:t>
            </w:r>
            <w:r>
              <w:rPr>
                <w:rFonts w:hint="eastAsia"/>
                <w:lang w:val="en-US" w:eastAsia="zh-CN"/>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pPr>
              <w:rPr>
                <w:rFonts w:hint="eastAsia" w:eastAsia="宋体"/>
                <w:lang w:val="en-US" w:eastAsia="zh-CN"/>
              </w:rPr>
            </w:pPr>
            <w:r>
              <w:rPr>
                <w:rFonts w:hint="eastAsia"/>
              </w:rPr>
              <w:t>特种作业人员：</w:t>
            </w:r>
            <w:r>
              <w:rPr>
                <w:rFonts w:hint="eastAsia" w:ascii="Wingdings" w:hAnsi="Wingdings"/>
                <w:lang w:val="en-US" w:eastAsia="zh-CN"/>
              </w:rPr>
              <w:t>无</w:t>
            </w:r>
          </w:p>
          <w:p>
            <w:pPr>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组织建立、实施和保持了适当的设计和开发过程，以确保后续的产品和服务的提供中满足职业健康安全相关的法律法规。</w:t>
            </w:r>
            <w:r>
              <w:rPr>
                <w:rFonts w:hint="eastAsia"/>
                <w:lang w:val="en-US" w:eastAsia="zh-CN"/>
              </w:rPr>
              <w:t>不适用</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Wingdings" w:hAnsi="Wingdings"/>
                <w:lang w:val="en-US" w:eastAsia="zh-CN"/>
              </w:rPr>
              <w:t>无</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应急预案，应急演练</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p>
          <w:p>
            <w:pPr>
              <w:rPr>
                <w:rFonts w:hint="eastAsia" w:eastAsia="宋体"/>
                <w:u w:val="single"/>
                <w:lang w:eastAsia="zh-CN"/>
              </w:rPr>
            </w:pPr>
            <w:r>
              <w:rPr>
                <w:rFonts w:hint="eastAsia"/>
              </w:rPr>
              <w:t>特种设备管理：</w:t>
            </w:r>
            <w:r>
              <w:rPr>
                <w:rFonts w:hint="eastAsia" w:ascii="Wingdings" w:hAnsi="Wingdings"/>
                <w:lang w:val="en-US" w:eastAsia="zh-CN"/>
              </w:rPr>
              <w:t>不适用</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r>
              <w:rPr>
                <w:rFonts w:hint="eastAsia"/>
                <w:lang w:val="en-US" w:eastAsia="zh-CN"/>
              </w:rPr>
              <w:t>未发生</w:t>
            </w:r>
          </w:p>
          <w:p>
            <w:r>
              <w:rPr>
                <w:rFonts w:hint="eastAsia"/>
              </w:rPr>
              <w:t>变更控制：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w:t>
            </w:r>
          </w:p>
          <w:p/>
          <w:p>
            <w:r>
              <w:rPr>
                <w:rFonts w:hint="eastAsia"/>
              </w:rPr>
              <w:t>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26</w:t>
            </w:r>
            <w:r>
              <w:rPr>
                <w:rFonts w:hint="eastAsia"/>
              </w:rPr>
              <w:t>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eastAsia" w:eastAsia="宋体"/>
                <w:lang w:val="en-US" w:eastAsia="zh-CN"/>
              </w:rPr>
            </w:pPr>
            <w:r>
              <w:rPr>
                <w:rFonts w:hint="eastAsia"/>
                <w:lang w:val="en-US" w:eastAsia="zh-CN"/>
              </w:rPr>
              <w:t>未发生</w:t>
            </w:r>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A32C0C"/>
    <w:rsid w:val="05556F12"/>
    <w:rsid w:val="09AF6DF4"/>
    <w:rsid w:val="0E034A3B"/>
    <w:rsid w:val="16184DFC"/>
    <w:rsid w:val="19AE52C2"/>
    <w:rsid w:val="1A7A42D7"/>
    <w:rsid w:val="1F227273"/>
    <w:rsid w:val="315C608D"/>
    <w:rsid w:val="37824373"/>
    <w:rsid w:val="386341A5"/>
    <w:rsid w:val="3B566601"/>
    <w:rsid w:val="402E32EA"/>
    <w:rsid w:val="402F29B6"/>
    <w:rsid w:val="40AD1AE9"/>
    <w:rsid w:val="43B97A32"/>
    <w:rsid w:val="45060392"/>
    <w:rsid w:val="4C0A69B9"/>
    <w:rsid w:val="5EDB5F93"/>
    <w:rsid w:val="60C969EB"/>
    <w:rsid w:val="68E00A49"/>
    <w:rsid w:val="72A050D2"/>
    <w:rsid w:val="7BAF1647"/>
    <w:rsid w:val="7D766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18801</Words>
  <Characters>19804</Characters>
  <Lines>150</Lines>
  <Paragraphs>42</Paragraphs>
  <TotalTime>4</TotalTime>
  <ScaleCrop>false</ScaleCrop>
  <LinksUpToDate>false</LinksUpToDate>
  <CharactersWithSpaces>19936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李蒙生</cp:lastModifiedBy>
  <cp:lastPrinted>2019-05-13T03:19:00Z</cp:lastPrinted>
  <dcterms:modified xsi:type="dcterms:W3CDTF">2022-04-02T04:48:16Z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