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0266-2022-QEO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重庆良伟物流有限公司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2022年03月25日 上午至2022年03月25日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2021-N1QMS-2230067</w:t>
            </w:r>
          </w:p>
          <w:p>
            <w:pPr>
              <w:spacing w:line="240" w:lineRule="exact"/>
              <w:jc w:val="center"/>
              <w:rPr>
                <w:b/>
                <w:color w:val="000000"/>
                <w:szCs w:val="21"/>
              </w:rPr>
            </w:pPr>
            <w:r>
              <w:rPr>
                <w:b/>
                <w:color w:val="000000"/>
                <w:szCs w:val="21"/>
              </w:rPr>
              <w:t>2021-N1EMS-2230067</w:t>
            </w:r>
          </w:p>
          <w:p>
            <w:pPr>
              <w:spacing w:line="240" w:lineRule="exact"/>
              <w:jc w:val="center"/>
              <w:rPr>
                <w:b/>
                <w:color w:val="000000"/>
                <w:szCs w:val="21"/>
              </w:rPr>
            </w:pPr>
            <w:r>
              <w:rPr>
                <w:b/>
                <w:color w:val="000000"/>
                <w:szCs w:val="21"/>
              </w:rPr>
              <w:t>2021-N1OHSMS-2230067</w:t>
            </w:r>
          </w:p>
        </w:tc>
        <w:tc>
          <w:tcPr>
            <w:tcW w:w="1140" w:type="dxa"/>
            <w:vAlign w:val="center"/>
          </w:tcPr>
          <w:p>
            <w:pPr>
              <w:spacing w:line="240" w:lineRule="exact"/>
              <w:jc w:val="center"/>
              <w:rPr>
                <w:b/>
                <w:color w:val="000000"/>
                <w:szCs w:val="21"/>
              </w:rPr>
            </w:pPr>
            <w:r>
              <w:rPr>
                <w:b/>
                <w:color w:val="000000"/>
                <w:szCs w:val="21"/>
              </w:rPr>
              <w:t>Q:31.04.01B</w:t>
            </w:r>
          </w:p>
          <w:p>
            <w:pPr>
              <w:spacing w:line="240" w:lineRule="exact"/>
              <w:jc w:val="center"/>
              <w:rPr>
                <w:b/>
                <w:color w:val="000000"/>
                <w:szCs w:val="21"/>
              </w:rPr>
            </w:pPr>
            <w:r>
              <w:rPr>
                <w:b/>
                <w:color w:val="000000"/>
                <w:szCs w:val="21"/>
              </w:rPr>
              <w:t>E:31.04.01</w:t>
            </w:r>
          </w:p>
          <w:p>
            <w:pPr>
              <w:spacing w:line="240" w:lineRule="exact"/>
              <w:jc w:val="center"/>
              <w:rPr>
                <w:b/>
                <w:color w:val="000000"/>
                <w:szCs w:val="21"/>
              </w:rPr>
            </w:pPr>
            <w:r>
              <w:rPr>
                <w:b/>
                <w:color w:val="000000"/>
                <w:szCs w:val="21"/>
              </w:rPr>
              <w:t>O:31.04.01B</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重庆良伟物流有限公司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重庆市璧山区青杠街道来凤民生街41号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409003</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重庆市璧山区青杠街道来凤民生街41号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409003</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陈良伟</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13883365999</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陈良伟</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李同珍</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rFonts w:hint="eastAsia" w:ascii="宋体" w:hAnsi="宋体" w:cs="宋体"/>
                <w:color w:val="000000"/>
                <w:kern w:val="0"/>
                <w:szCs w:val="21"/>
              </w:rPr>
              <w:t>普通货运</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Times New Roman" w:hAnsi="Times New Roman" w:eastAsia="宋体" w:cs="Times New Roman"/>
                <w:color w:val="000000"/>
                <w:szCs w:val="21"/>
                <w:rtl w:val="0"/>
                <w:lang w:val="zh-CN" w:eastAsia="zh-CN"/>
              </w:rPr>
              <w:t>货运流程：签订合同——制定运输方案—-按照方案执行——-客户确认。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普通货运</w:t>
            </w:r>
          </w:p>
        </w:tc>
        <w:tc>
          <w:tcPr>
            <w:tcW w:w="2006" w:type="dxa"/>
            <w:gridSpan w:val="3"/>
            <w:vAlign w:val="center"/>
          </w:tcPr>
          <w:p>
            <w:pPr>
              <w:spacing w:line="400" w:lineRule="exact"/>
              <w:rPr>
                <w:rFonts w:ascii="宋体" w:hAnsi="宋体"/>
                <w:b/>
                <w:color w:val="000000"/>
                <w:szCs w:val="21"/>
              </w:rPr>
            </w:pPr>
            <w:r>
              <w:rPr>
                <w:rFonts w:ascii="宋体" w:hAnsi="宋体" w:cs="宋体"/>
                <w:color w:val="000000"/>
                <w:kern w:val="0"/>
                <w:szCs w:val="21"/>
              </w:rPr>
              <w:t>31.04.01B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普通货运所涉及场所的相关环境管理活动</w:t>
            </w:r>
          </w:p>
        </w:tc>
        <w:tc>
          <w:tcPr>
            <w:tcW w:w="2006" w:type="dxa"/>
            <w:gridSpan w:val="3"/>
            <w:vAlign w:val="center"/>
          </w:tcPr>
          <w:p>
            <w:pPr>
              <w:spacing w:line="400" w:lineRule="exact"/>
              <w:rPr>
                <w:rFonts w:ascii="宋体" w:hAnsi="宋体"/>
                <w:b/>
                <w:color w:val="000000"/>
                <w:szCs w:val="21"/>
              </w:rPr>
            </w:pPr>
            <w:r>
              <w:rPr>
                <w:rFonts w:ascii="宋体" w:hAnsi="宋体" w:cs="宋体"/>
                <w:color w:val="000000"/>
                <w:kern w:val="0"/>
                <w:szCs w:val="21"/>
              </w:rPr>
              <w:t>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普通货运所涉及场所的相关职业健康安全管理活动</w:t>
            </w:r>
          </w:p>
        </w:tc>
        <w:tc>
          <w:tcPr>
            <w:tcW w:w="2006" w:type="dxa"/>
            <w:gridSpan w:val="3"/>
            <w:vAlign w:val="center"/>
          </w:tcPr>
          <w:p>
            <w:pPr>
              <w:spacing w:line="400" w:lineRule="exact"/>
              <w:rPr>
                <w:rFonts w:ascii="宋体" w:hAnsi="宋体"/>
                <w:b/>
                <w:color w:val="000000"/>
                <w:szCs w:val="21"/>
              </w:rPr>
            </w:pPr>
            <w:r>
              <w:rPr>
                <w:rFonts w:ascii="宋体" w:hAnsi="宋体" w:cs="宋体"/>
                <w:color w:val="000000"/>
                <w:kern w:val="0"/>
                <w:szCs w:val="21"/>
              </w:rPr>
              <w:t>31.04.01B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rFonts w:hint="eastAsia" w:ascii="宋体" w:hAnsi="宋体" w:cs="宋体"/>
                <w:color w:val="000000"/>
                <w:kern w:val="0"/>
                <w:szCs w:val="21"/>
              </w:rPr>
              <w:t>重庆良伟物流有限公司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重庆市璧山区青杠街道来凤民生街41号</w:t>
            </w:r>
          </w:p>
        </w:tc>
        <w:tc>
          <w:tcPr>
            <w:tcW w:w="2267" w:type="dxa"/>
          </w:tcPr>
          <w:p>
            <w:pPr>
              <w:spacing w:before="40" w:after="40"/>
              <w:rPr>
                <w:rFonts w:eastAsia="黑体"/>
                <w:szCs w:val="21"/>
                <w:lang w:val="de-DE" w:eastAsia="ja-JP"/>
              </w:rPr>
            </w:pPr>
            <w:r>
              <w:rPr>
                <w:rFonts w:hint="eastAsia" w:ascii="宋体" w:hAnsi="宋体" w:cs="宋体"/>
                <w:color w:val="000000"/>
                <w:kern w:val="0"/>
                <w:szCs w:val="21"/>
              </w:rPr>
              <w:t>重庆市璧山区青杠街道来凤民生街41号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803" w:type="dxa"/>
            <w:vAlign w:val="center"/>
          </w:tcPr>
          <w:p>
            <w:pPr>
              <w:pStyle w:val="20"/>
              <w:rPr>
                <w:rFonts w:eastAsia="黑体" w:cs="Arial"/>
                <w:sz w:val="21"/>
                <w:szCs w:val="21"/>
                <w:lang w:val="en-US" w:eastAsia="ja-JP"/>
              </w:rPr>
            </w:pPr>
            <w:r>
              <w:rPr>
                <w:rFonts w:hint="eastAsia" w:ascii="宋体" w:hAnsi="宋体" w:cs="宋体"/>
                <w:color w:val="000000"/>
                <w:kern w:val="0"/>
                <w:szCs w:val="21"/>
              </w:rPr>
              <w:t>普通货运</w:t>
            </w:r>
          </w:p>
        </w:tc>
        <w:tc>
          <w:tcPr>
            <w:tcW w:w="669" w:type="dxa"/>
            <w:vAlign w:val="center"/>
          </w:tcPr>
          <w:p>
            <w:pPr>
              <w:spacing w:before="40" w:after="40"/>
              <w:rPr>
                <w:rFonts w:eastAsia="黑体"/>
                <w:szCs w:val="21"/>
                <w:lang w:eastAsia="ja-JP"/>
              </w:rPr>
            </w:pPr>
            <w:r>
              <w:rPr>
                <w:rFonts w:hint="eastAsia" w:ascii="宋体" w:hAnsi="宋体"/>
                <w:b/>
                <w:sz w:val="21"/>
                <w:szCs w:val="21"/>
              </w:rPr>
              <w:t>GB/T19001-2016</w:t>
            </w:r>
            <w:r>
              <w:rPr>
                <w:rFonts w:hint="eastAsia" w:ascii="宋体" w:hAnsi="宋体"/>
                <w:b/>
                <w:sz w:val="21"/>
                <w:szCs w:val="21"/>
                <w:lang w:val="en-US" w:eastAsia="zh-CN"/>
              </w:rPr>
              <w:t>；</w:t>
            </w:r>
            <w:r>
              <w:rPr>
                <w:rFonts w:hint="eastAsia" w:ascii="宋体" w:hAnsi="宋体"/>
                <w:b/>
                <w:sz w:val="21"/>
                <w:szCs w:val="21"/>
              </w:rPr>
              <w:t>GB/T24001-2016</w:t>
            </w:r>
            <w:r>
              <w:rPr>
                <w:rFonts w:hint="eastAsia" w:ascii="宋体" w:hAnsi="宋体"/>
                <w:b/>
                <w:sz w:val="21"/>
                <w:szCs w:val="21"/>
                <w:lang w:val="en-US" w:eastAsia="zh-CN"/>
              </w:rPr>
              <w:t>；</w:t>
            </w:r>
            <w:r>
              <w:rPr>
                <w:rFonts w:hint="eastAsia" w:ascii="宋体" w:hAnsi="宋体"/>
                <w:b/>
                <w:sz w:val="21"/>
                <w:szCs w:val="21"/>
              </w:rPr>
              <w:t>GB/T 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MS Gothic" w:hAnsi="MS Gothic" w:eastAsia="黑体" w:cs="Segoe UI Symbol"/>
                    <w:szCs w:val="21"/>
                    <w:lang w:eastAsia="zh-CN"/>
                  </w:rPr>
                  <w:t>■</w:t>
                </w:r>
              </w:p>
            </w:sdtContent>
          </w:sdt>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vAlign w:val="top"/>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vAlign w:val="top"/>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vAlign w:val="top"/>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vAlign w:val="top"/>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vAlign w:val="top"/>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vAlign w:val="top"/>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vAlign w:val="top"/>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vAlign w:val="top"/>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top"/>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vAlign w:val="top"/>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vAlign w:val="top"/>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vAlign w:val="top"/>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vAlign w:val="top"/>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2021年12</w:t>
            </w:r>
            <w:r>
              <w:rPr>
                <w:rFonts w:hint="eastAsia" w:ascii="宋体" w:hAnsi="宋体"/>
                <w:b/>
                <w:color w:val="000000"/>
                <w:szCs w:val="21"/>
                <w:u w:val="single"/>
              </w:rPr>
              <w:t>月</w:t>
            </w:r>
            <w:r>
              <w:rPr>
                <w:rFonts w:hint="eastAsia" w:ascii="宋体" w:hAnsi="宋体"/>
                <w:b/>
                <w:color w:val="000000"/>
                <w:szCs w:val="21"/>
                <w:u w:val="single"/>
                <w:lang w:val="en-US" w:eastAsia="zh-CN"/>
              </w:rPr>
              <w:t>01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color w:val="000000"/>
                <w:szCs w:val="18"/>
                <w:u w:val="single"/>
              </w:rPr>
              <w:t>202</w:t>
            </w:r>
            <w:r>
              <w:rPr>
                <w:rFonts w:hint="eastAsia"/>
                <w:color w:val="000000"/>
                <w:szCs w:val="18"/>
                <w:u w:val="single"/>
                <w:lang w:val="en-US" w:eastAsia="zh-CN"/>
              </w:rPr>
              <w:t>2</w:t>
            </w:r>
            <w:r>
              <w:rPr>
                <w:color w:val="000000"/>
                <w:szCs w:val="18"/>
                <w:u w:val="single"/>
              </w:rPr>
              <w:t xml:space="preserve"> </w:t>
            </w:r>
            <w:r>
              <w:rPr>
                <w:rFonts w:hint="eastAsia"/>
                <w:color w:val="000000"/>
                <w:szCs w:val="18"/>
                <w:u w:val="single"/>
                <w:lang w:val="en-US" w:eastAsia="zh-CN"/>
              </w:rPr>
              <w:t>年3</w:t>
            </w:r>
            <w:r>
              <w:rPr>
                <w:color w:val="000000"/>
                <w:szCs w:val="18"/>
                <w:u w:val="single"/>
              </w:rPr>
              <w:t xml:space="preserve"> </w:t>
            </w:r>
            <w:r>
              <w:rPr>
                <w:rFonts w:hint="eastAsia"/>
                <w:color w:val="000000"/>
                <w:szCs w:val="18"/>
              </w:rPr>
              <w:t>月</w:t>
            </w:r>
            <w:r>
              <w:rPr>
                <w:color w:val="000000"/>
                <w:szCs w:val="18"/>
                <w:u w:val="single"/>
              </w:rPr>
              <w:t xml:space="preserve"> </w:t>
            </w:r>
            <w:r>
              <w:rPr>
                <w:rFonts w:hint="eastAsia"/>
                <w:color w:val="000000"/>
                <w:szCs w:val="18"/>
                <w:u w:val="single"/>
                <w:lang w:val="en-US" w:eastAsia="zh-CN"/>
              </w:rPr>
              <w:t>8</w:t>
            </w:r>
            <w:r>
              <w:rPr>
                <w:rFonts w:hint="eastAsia"/>
                <w:color w:val="000000"/>
                <w:szCs w:val="18"/>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Times New Roman" w:hAnsi="Times New Roman" w:eastAsia="宋体" w:cs="Times New Roman"/>
                <w:b w:val="0"/>
                <w:color w:val="000000"/>
                <w:kern w:val="2"/>
                <w:sz w:val="21"/>
                <w:szCs w:val="18"/>
                <w:u w:val="single"/>
                <w:lang w:val="en-US" w:eastAsia="zh-CN" w:bidi="ar-SA"/>
              </w:rPr>
              <w:t xml:space="preserve"> 2022年3 月15 日完</w:t>
            </w:r>
            <w:r>
              <w:rPr>
                <w:rFonts w:hint="eastAsia" w:ascii="宋体" w:hAnsi="宋体" w:eastAsia="宋体"/>
                <w:color w:val="000000"/>
                <w:sz w:val="21"/>
                <w:szCs w:val="21"/>
                <w:lang w:val="en-US" w:eastAsia="zh-CN"/>
              </w:rPr>
              <w:t>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b/>
                <w:color w:val="000000"/>
                <w:sz w:val="20"/>
                <w:szCs w:val="20"/>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b/>
                <w:color w:val="000000"/>
                <w:sz w:val="20"/>
                <w:szCs w:val="20"/>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 xml:space="preserve">采购过程 </w:t>
            </w:r>
            <w:r>
              <w:rPr>
                <w:rFonts w:hint="eastAsia" w:ascii="宋体" w:hAnsi="宋体"/>
                <w:b/>
                <w:color w:val="000000"/>
                <w:sz w:val="20"/>
                <w:szCs w:val="20"/>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
        <w:gridCol w:w="1088"/>
        <w:gridCol w:w="239"/>
        <w:gridCol w:w="5626"/>
        <w:gridCol w:w="376"/>
        <w:gridCol w:w="627"/>
        <w:gridCol w:w="290"/>
        <w:gridCol w:w="1500"/>
        <w:gridCol w:w="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1"/>
          <w:wBefore w:w="8" w:type="dxa"/>
          <w:cantSplit/>
          <w:trHeight w:val="57" w:hRule="atLeast"/>
        </w:trPr>
        <w:tc>
          <w:tcPr>
            <w:tcW w:w="9772" w:type="dxa"/>
            <w:gridSpan w:val="8"/>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9772" w:type="dxa"/>
            <w:gridSpan w:val="8"/>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4"/>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4"/>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4"/>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19" w:hRule="atLeast"/>
          <w:jc w:val="center"/>
        </w:trPr>
        <w:tc>
          <w:tcPr>
            <w:tcW w:w="7329" w:type="dxa"/>
            <w:gridSpan w:val="4"/>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gridSpan w:val="3"/>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7"/>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26" w:type="dxa"/>
          <w:cantSplit/>
          <w:trHeight w:val="57" w:hRule="atLeast"/>
        </w:trPr>
        <w:tc>
          <w:tcPr>
            <w:tcW w:w="9754" w:type="dxa"/>
            <w:gridSpan w:val="8"/>
            <w:shd w:val="clear" w:color="auto" w:fill="F3F3F3"/>
            <w:vAlign w:val="center"/>
          </w:tcPr>
          <w:p>
            <w:pPr>
              <w:spacing w:before="40" w:after="40"/>
              <w:rPr>
                <w:rFonts w:eastAsia="黑体"/>
                <w:szCs w:val="21"/>
              </w:rPr>
            </w:pPr>
            <w:r>
              <w:rPr>
                <w:rFonts w:eastAsia="黑体"/>
                <w:b/>
                <w:szCs w:val="21"/>
              </w:rPr>
              <w:t xml:space="preserve"> </w:t>
            </w: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9754" w:type="dxa"/>
            <w:gridSpan w:val="8"/>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5"/>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default" w:ascii="宋体"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u w:val="single"/>
              </w:rPr>
              <w:t>202</w:t>
            </w:r>
            <w:r>
              <w:rPr>
                <w:rFonts w:hint="eastAsia" w:ascii="宋体"/>
                <w:b/>
                <w:color w:val="000000"/>
                <w:szCs w:val="21"/>
                <w:u w:val="single"/>
                <w:lang w:val="en-US" w:eastAsia="zh-CN"/>
              </w:rPr>
              <w:t>2</w:t>
            </w:r>
            <w:bookmarkEnd w:id="35"/>
            <w:r>
              <w:rPr>
                <w:rFonts w:hint="eastAsia" w:ascii="宋体"/>
                <w:b/>
                <w:color w:val="000000"/>
                <w:szCs w:val="21"/>
                <w:u w:val="single"/>
                <w:lang w:val="en-US" w:eastAsia="zh-CN"/>
              </w:rPr>
              <w:t>年4月</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zCs w:val="21"/>
                <w:lang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vAlign w:val="top"/>
          </w:tcPr>
          <w:p>
            <w:pPr>
              <w:spacing w:line="280" w:lineRule="exact"/>
              <w:ind w:left="316" w:leftChars="0"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lang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vAlign w:val="top"/>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4721860</wp:posOffset>
            </wp:positionH>
            <wp:positionV relativeFrom="paragraph">
              <wp:posOffset>342900</wp:posOffset>
            </wp:positionV>
            <wp:extent cx="812800" cy="400050"/>
            <wp:effectExtent l="0" t="0" r="10160" b="11430"/>
            <wp:wrapNone/>
            <wp:docPr id="3"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r>
        <w:rPr>
          <w:rFonts w:hint="eastAsia" w:eastAsia="宋体"/>
          <w:lang w:eastAsia="zh-CN"/>
        </w:rPr>
        <w:drawing>
          <wp:anchor distT="0" distB="0" distL="114300" distR="114300" simplePos="0" relativeHeight="251662336" behindDoc="0" locked="0" layoutInCell="1" allowOverlap="1">
            <wp:simplePos x="0" y="0"/>
            <wp:positionH relativeFrom="column">
              <wp:posOffset>1743710</wp:posOffset>
            </wp:positionH>
            <wp:positionV relativeFrom="paragraph">
              <wp:posOffset>349250</wp:posOffset>
            </wp:positionV>
            <wp:extent cx="812800" cy="400050"/>
            <wp:effectExtent l="0" t="0" r="10160" b="11430"/>
            <wp:wrapNone/>
            <wp:docPr id="2"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2022年3月25日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rFonts w:hint="eastAsia" w:eastAsia="隶书" w:cs="Times New Roman"/>
          <w:color w:val="000000"/>
          <w:sz w:val="21"/>
          <w:szCs w:val="21"/>
        </w:rPr>
        <w:t>重庆良伟物流有限公司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150"/>
        <w:gridCol w:w="1900"/>
        <w:gridCol w:w="1408"/>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938"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90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408"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b/>
                <w:bCs/>
                <w:color w:val="000000"/>
                <w:sz w:val="21"/>
                <w:szCs w:val="21"/>
                <w:lang w:val="en-US" w:eastAsia="zh-CN"/>
              </w:rPr>
            </w:pPr>
            <w:r>
              <w:rPr>
                <w:rFonts w:hint="eastAsia" w:ascii="宋体"/>
                <w:b/>
                <w:bCs/>
                <w:color w:val="000000"/>
                <w:sz w:val="21"/>
                <w:szCs w:val="21"/>
                <w:lang w:val="en-US" w:eastAsia="zh-CN"/>
              </w:rPr>
              <w:t>1</w:t>
            </w:r>
          </w:p>
        </w:tc>
        <w:tc>
          <w:tcPr>
            <w:tcW w:w="4938" w:type="dxa"/>
            <w:gridSpan w:val="2"/>
            <w:vAlign w:val="center"/>
          </w:tcPr>
          <w:p>
            <w:pPr>
              <w:pStyle w:val="7"/>
              <w:pBdr>
                <w:bottom w:val="none" w:color="auto" w:sz="0" w:space="0"/>
              </w:pBdr>
              <w:tabs>
                <w:tab w:val="center" w:pos="5737"/>
                <w:tab w:val="clear" w:pos="4153"/>
              </w:tabs>
              <w:jc w:val="both"/>
              <w:rPr>
                <w:b/>
                <w:bCs/>
                <w:color w:val="000000"/>
                <w:sz w:val="21"/>
                <w:szCs w:val="21"/>
              </w:rPr>
            </w:pPr>
            <w:r>
              <w:rPr>
                <w:rFonts w:hint="eastAsia" w:ascii="Wingdings" w:hAnsi="Wingdings"/>
                <w:b/>
                <w:bCs/>
                <w:color w:val="000000"/>
                <w:sz w:val="21"/>
                <w:szCs w:val="21"/>
                <w:lang w:val="en-US" w:eastAsia="zh-CN"/>
              </w:rPr>
              <w:t>未提供一线驾驶人员健康体检报告。</w:t>
            </w:r>
          </w:p>
        </w:tc>
        <w:tc>
          <w:tcPr>
            <w:tcW w:w="1900" w:type="dxa"/>
            <w:vAlign w:val="center"/>
          </w:tcPr>
          <w:p>
            <w:pPr>
              <w:pStyle w:val="7"/>
              <w:pBdr>
                <w:bottom w:val="none" w:color="auto" w:sz="0" w:space="0"/>
              </w:pBdr>
              <w:ind w:right="600"/>
              <w:jc w:val="both"/>
              <w:rPr>
                <w:b/>
                <w:bCs/>
                <w:color w:val="000000"/>
                <w:sz w:val="21"/>
                <w:szCs w:val="21"/>
              </w:rPr>
            </w:pPr>
            <w:r>
              <w:rPr>
                <w:rFonts w:hint="eastAsia" w:ascii="宋体" w:hAnsi="宋体"/>
                <w:b/>
                <w:bCs/>
                <w:sz w:val="21"/>
                <w:szCs w:val="21"/>
              </w:rPr>
              <w:t>GB/T45001</w:t>
            </w:r>
            <w:r>
              <w:rPr>
                <w:rFonts w:hint="eastAsia" w:ascii="宋体" w:hAnsi="宋体"/>
                <w:b/>
                <w:bCs/>
                <w:sz w:val="21"/>
                <w:szCs w:val="21"/>
                <w:lang w:val="en-US" w:eastAsia="zh-CN"/>
              </w:rPr>
              <w:t>-</w:t>
            </w:r>
            <w:r>
              <w:rPr>
                <w:rFonts w:hint="eastAsia" w:ascii="宋体" w:hAnsi="宋体"/>
                <w:b/>
                <w:bCs/>
                <w:sz w:val="21"/>
                <w:szCs w:val="21"/>
              </w:rPr>
              <w:t>2020</w:t>
            </w:r>
          </w:p>
        </w:tc>
        <w:tc>
          <w:tcPr>
            <w:tcW w:w="1408" w:type="dxa"/>
            <w:vAlign w:val="center"/>
          </w:tcPr>
          <w:p>
            <w:pPr>
              <w:pStyle w:val="7"/>
              <w:pBdr>
                <w:bottom w:val="none" w:color="auto" w:sz="0" w:space="0"/>
              </w:pBdr>
              <w:ind w:right="600"/>
              <w:jc w:val="both"/>
              <w:rPr>
                <w:rFonts w:hint="default" w:eastAsia="宋体"/>
                <w:b/>
                <w:bCs/>
                <w:color w:val="000000"/>
                <w:sz w:val="21"/>
                <w:szCs w:val="21"/>
                <w:lang w:val="en-US" w:eastAsia="zh-CN"/>
              </w:rPr>
            </w:pPr>
            <w:r>
              <w:rPr>
                <w:rFonts w:hint="eastAsia"/>
                <w:b/>
                <w:bCs/>
                <w:color w:val="000000"/>
                <w:sz w:val="21"/>
                <w:szCs w:val="21"/>
                <w:lang w:val="en-US" w:eastAsia="zh-CN"/>
              </w:rPr>
              <w:t>9.1.1</w:t>
            </w:r>
            <w:bookmarkStart w:id="36" w:name="_GoBack"/>
            <w:bookmarkEnd w:id="36"/>
          </w:p>
        </w:tc>
        <w:tc>
          <w:tcPr>
            <w:tcW w:w="934" w:type="dxa"/>
            <w:vAlign w:val="center"/>
          </w:tcPr>
          <w:p>
            <w:pPr>
              <w:pStyle w:val="7"/>
              <w:pBdr>
                <w:bottom w:val="none" w:color="auto" w:sz="0" w:space="0"/>
              </w:pBdr>
              <w:ind w:right="600"/>
              <w:jc w:val="both"/>
              <w:rPr>
                <w:rFonts w:hint="eastAsia" w:eastAsia="宋体"/>
                <w:b/>
                <w:bCs/>
                <w:color w:val="000000"/>
                <w:sz w:val="21"/>
                <w:szCs w:val="21"/>
                <w:lang w:val="en-US" w:eastAsia="zh-CN"/>
              </w:rPr>
            </w:pPr>
            <w:r>
              <w:rPr>
                <w:rFonts w:hint="eastAsia"/>
                <w:b/>
                <w:bCs/>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4938"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900" w:type="dxa"/>
            <w:vAlign w:val="center"/>
          </w:tcPr>
          <w:p>
            <w:pPr>
              <w:pStyle w:val="7"/>
              <w:pBdr>
                <w:bottom w:val="none" w:color="auto" w:sz="0" w:space="0"/>
              </w:pBdr>
              <w:ind w:right="600"/>
              <w:jc w:val="both"/>
              <w:rPr>
                <w:color w:val="000000"/>
                <w:sz w:val="21"/>
                <w:szCs w:val="21"/>
              </w:rPr>
            </w:pPr>
          </w:p>
        </w:tc>
        <w:tc>
          <w:tcPr>
            <w:tcW w:w="1408"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4938"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900" w:type="dxa"/>
            <w:vAlign w:val="center"/>
          </w:tcPr>
          <w:p>
            <w:pPr>
              <w:pStyle w:val="7"/>
              <w:pBdr>
                <w:bottom w:val="none" w:color="auto" w:sz="0" w:space="0"/>
              </w:pBdr>
              <w:ind w:right="600"/>
              <w:jc w:val="both"/>
              <w:rPr>
                <w:color w:val="000000"/>
                <w:sz w:val="21"/>
                <w:szCs w:val="21"/>
              </w:rPr>
            </w:pPr>
          </w:p>
        </w:tc>
        <w:tc>
          <w:tcPr>
            <w:tcW w:w="1408"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4938"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900" w:type="dxa"/>
            <w:vAlign w:val="center"/>
          </w:tcPr>
          <w:p>
            <w:pPr>
              <w:pStyle w:val="7"/>
              <w:pBdr>
                <w:bottom w:val="none" w:color="auto" w:sz="0" w:space="0"/>
              </w:pBdr>
              <w:ind w:right="600"/>
              <w:jc w:val="both"/>
              <w:rPr>
                <w:color w:val="000000"/>
                <w:sz w:val="21"/>
                <w:szCs w:val="21"/>
              </w:rPr>
            </w:pPr>
          </w:p>
        </w:tc>
        <w:tc>
          <w:tcPr>
            <w:tcW w:w="1408"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4938"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900" w:type="dxa"/>
            <w:vAlign w:val="center"/>
          </w:tcPr>
          <w:p>
            <w:pPr>
              <w:pStyle w:val="7"/>
              <w:pBdr>
                <w:bottom w:val="none" w:color="auto" w:sz="0" w:space="0"/>
              </w:pBdr>
              <w:ind w:right="600"/>
              <w:jc w:val="both"/>
              <w:rPr>
                <w:color w:val="000000"/>
                <w:sz w:val="21"/>
                <w:szCs w:val="21"/>
              </w:rPr>
            </w:pPr>
          </w:p>
        </w:tc>
        <w:tc>
          <w:tcPr>
            <w:tcW w:w="1408"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vAlign w:val="top"/>
          </w:tcPr>
          <w:p>
            <w:pPr>
              <w:spacing w:line="280" w:lineRule="exact"/>
              <w:rPr>
                <w:b/>
                <w:color w:val="000000"/>
                <w:szCs w:val="21"/>
              </w:rPr>
            </w:pPr>
            <w:r>
              <w:rPr>
                <w:rFonts w:hint="eastAsia"/>
                <w:b/>
                <w:color w:val="000000"/>
                <w:szCs w:val="21"/>
              </w:rPr>
              <w:t>审核组长：</w:t>
            </w:r>
            <w:r>
              <w:rPr>
                <w:rFonts w:hint="eastAsia" w:eastAsia="宋体"/>
                <w:lang w:eastAsia="zh-CN"/>
              </w:rPr>
              <w:drawing>
                <wp:anchor distT="0" distB="0" distL="114300" distR="114300" simplePos="0" relativeHeight="251664384" behindDoc="0" locked="0" layoutInCell="1" allowOverlap="1">
                  <wp:simplePos x="0" y="0"/>
                  <wp:positionH relativeFrom="column">
                    <wp:posOffset>638810</wp:posOffset>
                  </wp:positionH>
                  <wp:positionV relativeFrom="paragraph">
                    <wp:posOffset>-21590</wp:posOffset>
                  </wp:positionV>
                  <wp:extent cx="812800" cy="400050"/>
                  <wp:effectExtent l="0" t="0" r="10160" b="11430"/>
                  <wp:wrapNone/>
                  <wp:docPr id="5"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 xml:space="preserve">年 </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25</w:t>
            </w:r>
            <w:r>
              <w:rPr>
                <w:rFonts w:hint="eastAsia"/>
                <w:b/>
                <w:color w:val="000000"/>
                <w:szCs w:val="21"/>
              </w:rPr>
              <w:t>日</w:t>
            </w:r>
          </w:p>
        </w:tc>
        <w:tc>
          <w:tcPr>
            <w:tcW w:w="5392" w:type="dxa"/>
            <w:gridSpan w:val="4"/>
            <w:vAlign w:val="top"/>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李同珍</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 xml:space="preserve">年 </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25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spacing w:line="360" w:lineRule="exact"/>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推荐意见：</w:t>
            </w:r>
            <w:r>
              <w:rPr>
                <w:rFonts w:hint="eastAsia" w:ascii="Times New Roman" w:hAnsi="Times New Roman" w:eastAsia="宋体" w:cs="Times New Roman"/>
                <w:b/>
                <w:color w:val="000000"/>
                <w:szCs w:val="21"/>
                <w:lang w:eastAsia="zh-CN"/>
              </w:rPr>
              <w:t>■</w:t>
            </w:r>
            <w:r>
              <w:rPr>
                <w:rFonts w:hint="eastAsia" w:ascii="Times New Roman" w:hAnsi="Times New Roman" w:eastAsia="宋体" w:cs="Times New Roman"/>
                <w:b/>
                <w:color w:val="000000"/>
                <w:szCs w:val="21"/>
              </w:rPr>
              <w:t>可进行二阶段审核□需再次安排一阶段审核□不进入二阶段审核</w:t>
            </w:r>
            <w:r>
              <w:rPr>
                <w:rFonts w:hint="eastAsia" w:ascii="Times New Roman" w:hAnsi="Times New Roman" w:eastAsia="宋体" w:cs="Times New Roman"/>
                <w:b/>
                <w:color w:val="000000"/>
                <w:szCs w:val="21"/>
              </w:rPr>
              <w:tab/>
            </w:r>
          </w:p>
          <w:p>
            <w:pPr>
              <w:spacing w:line="360" w:lineRule="exact"/>
              <w:rPr>
                <w:rFonts w:hint="eastAsia" w:ascii="Times New Roman" w:hAnsi="Times New Roman" w:eastAsia="宋体" w:cs="Times New Roman"/>
                <w:b/>
                <w:color w:val="000000"/>
                <w:szCs w:val="21"/>
              </w:rPr>
            </w:pPr>
            <w:r>
              <w:rPr>
                <w:rFonts w:hint="eastAsia" w:eastAsia="宋体"/>
                <w:lang w:eastAsia="zh-CN"/>
              </w:rPr>
              <w:drawing>
                <wp:anchor distT="0" distB="0" distL="114300" distR="114300" simplePos="0" relativeHeight="251665408" behindDoc="0" locked="0" layoutInCell="1" allowOverlap="1">
                  <wp:simplePos x="0" y="0"/>
                  <wp:positionH relativeFrom="column">
                    <wp:posOffset>607060</wp:posOffset>
                  </wp:positionH>
                  <wp:positionV relativeFrom="paragraph">
                    <wp:posOffset>194310</wp:posOffset>
                  </wp:positionV>
                  <wp:extent cx="812800" cy="400050"/>
                  <wp:effectExtent l="0" t="0" r="10160" b="11430"/>
                  <wp:wrapNone/>
                  <wp:docPr id="6"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pPr>
              <w:spacing w:line="360" w:lineRule="exact"/>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验证人：</w:t>
            </w:r>
            <w:r>
              <w:rPr>
                <w:rFonts w:hint="eastAsia" w:ascii="Times New Roman" w:hAnsi="Times New Roman" w:eastAsia="宋体" w:cs="Times New Roman"/>
                <w:b/>
                <w:color w:val="000000"/>
                <w:szCs w:val="21"/>
                <w:lang w:val="en-US" w:eastAsia="zh-CN"/>
              </w:rPr>
              <w:t xml:space="preserve">                  </w:t>
            </w:r>
            <w:r>
              <w:rPr>
                <w:rFonts w:hint="eastAsia" w:ascii="Times New Roman" w:hAnsi="Times New Roman" w:eastAsia="宋体" w:cs="Times New Roman"/>
                <w:b/>
                <w:color w:val="000000"/>
                <w:szCs w:val="21"/>
              </w:rPr>
              <w:t>日期：</w:t>
            </w:r>
            <w:r>
              <w:rPr>
                <w:rFonts w:hint="eastAsia"/>
                <w:b/>
                <w:color w:val="000000"/>
                <w:szCs w:val="21"/>
                <w:lang w:val="en-US" w:eastAsia="zh-CN"/>
              </w:rPr>
              <w:t>2022</w:t>
            </w:r>
            <w:r>
              <w:rPr>
                <w:rFonts w:hint="eastAsia"/>
                <w:b/>
                <w:color w:val="000000"/>
                <w:szCs w:val="21"/>
              </w:rPr>
              <w:t xml:space="preserve">年 </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25</w:t>
            </w:r>
            <w:r>
              <w:rPr>
                <w:rFonts w:hint="eastAsia"/>
                <w:b/>
                <w:color w:val="000000"/>
                <w:szCs w:val="21"/>
              </w:rPr>
              <w:t>日</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5BA4151"/>
    <w:rsid w:val="24DF480A"/>
    <w:rsid w:val="446B06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4</TotalTime>
  <ScaleCrop>false</ScaleCrop>
  <LinksUpToDate>false</LinksUpToDate>
  <CharactersWithSpaces>9461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2022-03-25T05:21:40Z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