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0029-2021-QEO-2022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江西奥中成套设备有限公司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jc w:val="both"/>
            </w:pPr>
            <w:r>
              <w:rPr>
                <w:rFonts w:hint="eastAsia"/>
              </w:rPr>
              <w:t>受审核方名称</w:t>
            </w:r>
          </w:p>
        </w:tc>
        <w:tc>
          <w:tcPr>
            <w:tcW w:w="8058" w:type="dxa"/>
            <w:gridSpan w:val="5"/>
            <w:vAlign w:val="center"/>
          </w:tcPr>
          <w:p>
            <w:pPr>
              <w:jc w:val="both"/>
            </w:pPr>
            <w:bookmarkStart w:id="5" w:name="组织名称Add1"/>
            <w:r>
              <w:t>江西奥中成套设备有限公司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江西省南昌市东湖区关马祠7号506室</w:t>
            </w:r>
            <w:bookmarkEnd w:id="6"/>
          </w:p>
        </w:tc>
        <w:tc>
          <w:tcPr>
            <w:tcW w:w="1242" w:type="dxa"/>
            <w:vMerge w:val="restart"/>
            <w:vAlign w:val="center"/>
          </w:tcPr>
          <w:p>
            <w:r>
              <w:rPr>
                <w:rFonts w:hint="eastAsia"/>
              </w:rPr>
              <w:t>邮编</w:t>
            </w:r>
          </w:p>
        </w:tc>
        <w:tc>
          <w:tcPr>
            <w:tcW w:w="1771" w:type="dxa"/>
          </w:tcPr>
          <w:p>
            <w:bookmarkStart w:id="7" w:name="注册邮编"/>
            <w:r>
              <w:t>330008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江西省南昌市红谷滩新区丰和北大道59号丰和新城时代大厦23楼2311室</w:t>
            </w:r>
            <w:bookmarkEnd w:id="8"/>
          </w:p>
        </w:tc>
        <w:tc>
          <w:tcPr>
            <w:tcW w:w="1242" w:type="dxa"/>
            <w:vMerge w:val="continue"/>
            <w:vAlign w:val="center"/>
          </w:tcPr>
          <w:p/>
        </w:tc>
        <w:tc>
          <w:tcPr>
            <w:tcW w:w="1771" w:type="dxa"/>
          </w:tcPr>
          <w:p>
            <w:bookmarkStart w:id="9" w:name="办公邮编"/>
            <w:r>
              <w:t>330008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龚飞霞</w:t>
            </w:r>
            <w:bookmarkEnd w:id="10"/>
          </w:p>
        </w:tc>
        <w:tc>
          <w:tcPr>
            <w:tcW w:w="1313" w:type="dxa"/>
            <w:vAlign w:val="center"/>
          </w:tcPr>
          <w:p>
            <w:r>
              <w:rPr>
                <w:rFonts w:hint="eastAsia"/>
              </w:rPr>
              <w:t>电话.</w:t>
            </w:r>
          </w:p>
        </w:tc>
        <w:tc>
          <w:tcPr>
            <w:tcW w:w="2180" w:type="dxa"/>
            <w:vAlign w:val="center"/>
          </w:tcPr>
          <w:p>
            <w:bookmarkStart w:id="11" w:name="联系人电话"/>
            <w:r>
              <w:t>0791-86827773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肖丽清</w:t>
            </w:r>
            <w:bookmarkEnd w:id="13"/>
          </w:p>
        </w:tc>
        <w:tc>
          <w:tcPr>
            <w:tcW w:w="1313" w:type="dxa"/>
            <w:vAlign w:val="center"/>
          </w:tcPr>
          <w:p>
            <w:r>
              <w:rPr>
                <w:rFonts w:hint="eastAsia"/>
              </w:rPr>
              <w:t>管理者代表</w:t>
            </w:r>
          </w:p>
        </w:tc>
        <w:tc>
          <w:tcPr>
            <w:tcW w:w="2180" w:type="dxa"/>
          </w:tcPr>
          <w:p>
            <w:bookmarkStart w:id="14" w:name="管理者代表"/>
            <w:r>
              <w:t>钟琨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产品要求信息获取---产品要求评审---签订合同---采购 ---质检---销售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2022年04月06日 上午至2022年04月08日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Q：水处理设备、机电产品、电线电缆、仪器仪表的销售</w:t>
            </w:r>
          </w:p>
          <w:p>
            <w:r>
              <w:t>E：水处理设备、机电产品、电线电缆、仪器仪表的销售所涉及场所的相关环境管理活动</w:t>
            </w:r>
          </w:p>
          <w:p>
            <w:r>
              <w:t>O：水处理设备、机电产品、电线电缆、仪器仪表的销售所涉及场所的相关职业健康安全管理活动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r>
              <w:rPr>
                <w:rFonts w:hint="eastAsia"/>
              </w:rPr>
              <w:t>2020年09月15日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江西奥中成套设备有限公司</w:t>
            </w:r>
          </w:p>
          <w:p>
            <w:pPr>
              <w:pStyle w:val="12"/>
              <w:rPr>
                <w:lang w:val="de-DE" w:eastAsia="ja-JP"/>
              </w:rPr>
            </w:pPr>
            <w:r>
              <w:rPr>
                <w:rFonts w:asciiTheme="minorEastAsia" w:hAnsiTheme="minorEastAsia" w:eastAsiaTheme="minorEastAsia"/>
                <w:sz w:val="20"/>
              </w:rPr>
              <w:t>江西省南昌市东湖区关马祠7号506室</w:t>
            </w:r>
          </w:p>
        </w:tc>
        <w:tc>
          <w:tcPr>
            <w:tcW w:w="2267" w:type="dxa"/>
          </w:tcPr>
          <w:p>
            <w:pPr>
              <w:rPr>
                <w:lang w:val="de-DE" w:eastAsia="ja-JP"/>
              </w:rPr>
            </w:pPr>
            <w:r>
              <w:rPr>
                <w:rFonts w:asciiTheme="minorEastAsia" w:hAnsiTheme="minorEastAsia" w:eastAsiaTheme="minorEastAsia"/>
                <w:sz w:val="20"/>
              </w:rPr>
              <w:t>江西省南昌市红谷滩新区丰和北大道59号丰和新城时代大厦23楼2311室</w:t>
            </w:r>
          </w:p>
        </w:tc>
        <w:tc>
          <w:tcPr>
            <w:tcW w:w="571" w:type="dxa"/>
            <w:vAlign w:val="center"/>
          </w:tcPr>
          <w:p>
            <w:pPr>
              <w:rPr>
                <w:rFonts w:hint="eastAsia" w:eastAsia="宋体"/>
                <w:lang w:val="en-US" w:eastAsia="zh-CN"/>
              </w:rPr>
            </w:pPr>
            <w:r>
              <w:rPr>
                <w:rFonts w:hint="eastAsia"/>
                <w:lang w:val="en-US" w:eastAsia="zh-CN"/>
              </w:rPr>
              <w:t>5</w:t>
            </w:r>
          </w:p>
        </w:tc>
        <w:tc>
          <w:tcPr>
            <w:tcW w:w="2803" w:type="dxa"/>
            <w:vAlign w:val="center"/>
          </w:tcPr>
          <w:p>
            <w:pPr>
              <w:rPr>
                <w:lang w:eastAsia="ja-JP"/>
              </w:rPr>
            </w:pPr>
            <w:r>
              <w:rPr>
                <w:rFonts w:hint="eastAsia"/>
                <w:lang w:eastAsia="ja-JP"/>
              </w:rPr>
              <w:t>水处理设备、机电产品、电线电缆、仪器仪表的销售</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7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1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17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shd w:val="clear" w:color="auto" w:fill="D7D7D7" w:themeFill="background1" w:themeFillShade="D8"/>
          </w:tcPr>
          <w:p>
            <w:r>
              <w:rPr>
                <w:rFonts w:hint="eastAsia"/>
              </w:rPr>
              <w:t>审核周期</w:t>
            </w:r>
          </w:p>
        </w:tc>
        <w:tc>
          <w:tcPr>
            <w:tcW w:w="8506"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24"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24"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24"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24"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2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2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250190</wp:posOffset>
                  </wp:positionH>
                  <wp:positionV relativeFrom="paragraph">
                    <wp:posOffset>2540</wp:posOffset>
                  </wp:positionV>
                  <wp:extent cx="771525" cy="464820"/>
                  <wp:effectExtent l="0" t="0" r="952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71525" cy="46482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u w:val="single"/>
              </w:rPr>
            </w:pPr>
            <w:r>
              <w:rPr>
                <w:rFonts w:hint="eastAsia"/>
                <w:u w:val="single"/>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供销部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Arial"/>
                      <w:color w:val="auto"/>
                      <w:spacing w:val="-6"/>
                      <w:sz w:val="21"/>
                      <w:szCs w:val="21"/>
                      <w:highlight w:val="none"/>
                      <w:lang w:val="en-US" w:eastAsia="zh-CN"/>
                    </w:rPr>
                    <w:t>竞争对手的竞争；市场经济形势的变化</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84"/>
              <w:gridCol w:w="133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84"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36"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sz w:val="21"/>
                      <w:szCs w:val="21"/>
                    </w:rPr>
                    <w:t>交货及时率≥95%</w:t>
                  </w:r>
                </w:p>
              </w:tc>
              <w:tc>
                <w:tcPr>
                  <w:tcW w:w="3284" w:type="dxa"/>
                  <w:shd w:val="clear" w:color="auto" w:fill="auto"/>
                  <w:vAlign w:val="top"/>
                </w:tcPr>
                <w:p>
                  <w:pPr>
                    <w:spacing w:after="0"/>
                    <w:rPr>
                      <w:lang w:val="en-GB"/>
                    </w:rPr>
                  </w:pPr>
                  <w:r>
                    <w:rPr>
                      <w:rFonts w:hint="eastAsia"/>
                      <w:sz w:val="21"/>
                      <w:szCs w:val="21"/>
                    </w:rPr>
                    <w:t>交货及时率=当季交货及时数÷交货总次数×100%</w:t>
                  </w:r>
                </w:p>
              </w:tc>
              <w:tc>
                <w:tcPr>
                  <w:tcW w:w="1336"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供销部</w:t>
                  </w:r>
                </w:p>
              </w:tc>
              <w:tc>
                <w:tcPr>
                  <w:tcW w:w="1640"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sz w:val="21"/>
                      <w:szCs w:val="21"/>
                    </w:rPr>
                    <w:t>顾客满意度92分以上</w:t>
                  </w:r>
                </w:p>
              </w:tc>
              <w:tc>
                <w:tcPr>
                  <w:tcW w:w="3284" w:type="dxa"/>
                  <w:shd w:val="clear" w:color="auto" w:fill="auto"/>
                  <w:vAlign w:val="top"/>
                </w:tcPr>
                <w:p>
                  <w:pPr>
                    <w:spacing w:after="0"/>
                    <w:rPr>
                      <w:rFonts w:ascii="宋体" w:hAnsi="宋体"/>
                    </w:rPr>
                  </w:pPr>
                  <w:r>
                    <w:rPr>
                      <w:rFonts w:hint="eastAsia"/>
                      <w:sz w:val="21"/>
                      <w:szCs w:val="21"/>
                    </w:rPr>
                    <w:t>顾客满意度=调查单位中满意总分数÷调查单位数</w:t>
                  </w:r>
                </w:p>
              </w:tc>
              <w:tc>
                <w:tcPr>
                  <w:tcW w:w="1336"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640"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284" w:type="dxa"/>
                  <w:shd w:val="clear" w:color="auto" w:fill="auto"/>
                  <w:vAlign w:val="center"/>
                </w:tcPr>
                <w:p>
                  <w:pPr>
                    <w:shd w:val="clear" w:color="auto" w:fill="C7DAF1" w:themeFill="text2" w:themeFillTint="32"/>
                    <w:rPr>
                      <w:rFonts w:ascii="宋体" w:hAnsi="宋体"/>
                    </w:rPr>
                  </w:pPr>
                </w:p>
              </w:tc>
              <w:tc>
                <w:tcPr>
                  <w:tcW w:w="1336"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eastAsia="zh-CN"/>
              </w:rPr>
              <w:t>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289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shd w:val="clear" w:color="auto" w:fill="C7DAF1" w:themeFill="text2" w:themeFillTint="32"/>
                    <w:jc w:val="left"/>
                  </w:pPr>
                  <w:r>
                    <w:rPr>
                      <w:rFonts w:hint="eastAsia"/>
                    </w:rPr>
                    <w:t>产品/服务名称</w:t>
                  </w:r>
                </w:p>
              </w:tc>
              <w:tc>
                <w:tcPr>
                  <w:tcW w:w="2891" w:type="dxa"/>
                </w:tcPr>
                <w:p>
                  <w:pPr>
                    <w:shd w:val="clear" w:color="auto" w:fill="C7DAF1" w:themeFill="text2" w:themeFillTint="32"/>
                    <w:jc w:val="left"/>
                  </w:pPr>
                  <w:r>
                    <w:rPr>
                      <w:rFonts w:hint="eastAsia"/>
                    </w:rPr>
                    <w:t>关键过程</w:t>
                  </w:r>
                </w:p>
              </w:tc>
              <w:tc>
                <w:tcPr>
                  <w:tcW w:w="29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shd w:val="clear" w:color="auto" w:fill="C7DAF1" w:themeFill="text2" w:themeFillTint="32"/>
                    <w:jc w:val="left"/>
                  </w:pPr>
                  <w:r>
                    <w:rPr>
                      <w:rFonts w:hint="eastAsia" w:ascii="宋体" w:hAnsi="宋体" w:cs="Arial"/>
                      <w:color w:val="auto"/>
                      <w:spacing w:val="-6"/>
                      <w:sz w:val="21"/>
                      <w:szCs w:val="21"/>
                    </w:rPr>
                    <w:t>水处理设备、机电产品、电线电缆、仪器仪表的销售</w:t>
                  </w:r>
                </w:p>
              </w:tc>
              <w:tc>
                <w:tcPr>
                  <w:tcW w:w="2891" w:type="dxa"/>
                </w:tcPr>
                <w:p>
                  <w:pPr>
                    <w:shd w:val="clear" w:color="auto" w:fill="C7DAF1" w:themeFill="text2" w:themeFillTint="32"/>
                    <w:jc w:val="left"/>
                    <w:rPr>
                      <w:rFonts w:hint="eastAsia" w:eastAsia="宋体"/>
                      <w:lang w:eastAsia="zh-CN"/>
                    </w:rPr>
                  </w:pPr>
                  <w:r>
                    <w:rPr>
                      <w:rFonts w:hint="eastAsia"/>
                      <w:lang w:eastAsia="zh-CN"/>
                    </w:rPr>
                    <w:t>销售过程</w:t>
                  </w:r>
                </w:p>
              </w:tc>
              <w:tc>
                <w:tcPr>
                  <w:tcW w:w="2965" w:type="dxa"/>
                </w:tcPr>
                <w:p>
                  <w:pPr>
                    <w:shd w:val="clear" w:color="auto" w:fill="C7DAF1" w:themeFill="text2" w:themeFillTint="32"/>
                    <w:jc w:val="left"/>
                    <w:rPr>
                      <w:rFonts w:hint="eastAsia" w:eastAsia="宋体"/>
                      <w:lang w:eastAsia="zh-CN"/>
                    </w:rPr>
                  </w:pPr>
                  <w:r>
                    <w:rPr>
                      <w:rFonts w:hint="eastAsia"/>
                      <w:lang w:eastAsia="zh-CN"/>
                    </w:rPr>
                    <w:t>服务质量、态度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shd w:val="clear" w:color="auto" w:fill="C7DAF1" w:themeFill="text2" w:themeFillTint="32"/>
                    <w:jc w:val="left"/>
                  </w:pPr>
                </w:p>
              </w:tc>
              <w:tc>
                <w:tcPr>
                  <w:tcW w:w="2891" w:type="dxa"/>
                </w:tcPr>
                <w:p>
                  <w:pPr>
                    <w:shd w:val="clear" w:color="auto" w:fill="C7DAF1" w:themeFill="text2" w:themeFillTint="32"/>
                    <w:jc w:val="left"/>
                  </w:pPr>
                </w:p>
              </w:tc>
              <w:tc>
                <w:tcPr>
                  <w:tcW w:w="29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shd w:val="clear" w:color="auto" w:fill="C7DAF1" w:themeFill="text2" w:themeFillTint="32"/>
                    <w:jc w:val="left"/>
                  </w:pPr>
                </w:p>
              </w:tc>
              <w:tc>
                <w:tcPr>
                  <w:tcW w:w="2891" w:type="dxa"/>
                </w:tcPr>
                <w:p>
                  <w:pPr>
                    <w:shd w:val="clear" w:color="auto" w:fill="C7DAF1" w:themeFill="text2" w:themeFillTint="32"/>
                    <w:jc w:val="left"/>
                  </w:pPr>
                </w:p>
              </w:tc>
              <w:tc>
                <w:tcPr>
                  <w:tcW w:w="29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通过年度策划于2022年1月10-11日实施了质量管理体系内部审核，对质量管理体系的符合性和有效性进行了审核。内审发现的项不符合在本次审核前已完成整改。在公司内完成的这些审核是可信的。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Arial"/>
                <w:color w:val="auto"/>
                <w:spacing w:val="-6"/>
                <w:sz w:val="21"/>
                <w:szCs w:val="21"/>
                <w:highlight w:val="none"/>
                <w:lang w:val="en-US" w:eastAsia="zh-CN"/>
              </w:rPr>
              <w:t>2022年1月21日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w:t>
                  </w:r>
                </w:p>
              </w:tc>
              <w:tc>
                <w:tcPr>
                  <w:tcW w:w="3965" w:type="dxa"/>
                </w:tcPr>
                <w:p>
                  <w:pPr>
                    <w:shd w:val="clear" w:color="auto" w:fill="EBF1DE" w:themeFill="accent3" w:themeFillTint="32"/>
                    <w:rPr>
                      <w:rFonts w:hint="eastAsia" w:eastAsia="宋体"/>
                      <w:lang w:eastAsia="zh-CN"/>
                    </w:rPr>
                  </w:pPr>
                  <w:r>
                    <w:rPr>
                      <w:rFonts w:hint="eastAsia"/>
                      <w:lang w:eastAsia="zh-CN"/>
                    </w:rPr>
                    <w:t>运行控制、应急管理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40" w:lineRule="auto"/>
                  </w:pPr>
                  <w:r>
                    <w:rPr>
                      <w:rFonts w:hint="eastAsia" w:ascii="Times New Roman" w:hAnsi="Times New Roman" w:eastAsia="宋体" w:cs="Times New Roman"/>
                      <w:color w:val="auto"/>
                      <w:szCs w:val="22"/>
                    </w:rPr>
                    <w:t>固体废弃物分类处理率100%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pPr>
                  <w:r>
                    <w:rPr>
                      <w:rFonts w:hint="eastAsia" w:ascii="Times New Roman" w:hAnsi="Times New Roman" w:eastAsia="宋体" w:cs="Times New Roman"/>
                      <w:color w:val="auto"/>
                      <w:szCs w:val="22"/>
                    </w:rPr>
                    <w:t>火灾事故未0</w:t>
                  </w:r>
                </w:p>
              </w:tc>
              <w:tc>
                <w:tcPr>
                  <w:tcW w:w="3136"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eastAsia="zh-CN"/>
              </w:rPr>
              <w:t>电脑、打印机</w:t>
            </w:r>
          </w:p>
          <w:p>
            <w:pPr>
              <w:shd w:val="clear" w:color="auto" w:fill="EBF1DE" w:themeFill="accent3" w:themeFillTint="32"/>
              <w:rPr>
                <w:u w:val="single"/>
              </w:rPr>
            </w:pPr>
            <w:r>
              <w:rPr>
                <w:rFonts w:hint="eastAsia"/>
              </w:rPr>
              <w:t>主要环保设备有：</w:t>
            </w:r>
            <w:r>
              <w:rPr>
                <w:rFonts w:hint="eastAsia"/>
                <w:u w:val="single"/>
              </w:rPr>
              <w:t>灭火器、消防栓、垃圾桶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eastAsia="zh-CN"/>
                    </w:rPr>
                    <w:t>运行控制、应急管理</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Times New Roman" w:hAnsi="Times New Roman" w:eastAsia="宋体" w:cs="Times New Roman"/>
                <w:szCs w:val="22"/>
                <w:highlight w:val="none"/>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定期（每年）：2021年11月30日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通过年度策划于2022年1月10-11日实施了环境管理体系内部审核，对环境管理体系的符合性和有效性进行了审核。内审发现的项不符合在本次审核前已完成整改。在公司内完成的这些审核是可信的。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最高管理者已按策划的时间间隔，在2022年1月21日对组织的环境管理体系进行了评审，以确保其持续的适宜性、充分性和有效性；管理评审输入、输出均按要求提供。并对提出的改进措施进行了落实。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9"/>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叶文娟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Arial"/>
                      <w:color w:val="auto"/>
                      <w:spacing w:val="-6"/>
                      <w:sz w:val="21"/>
                      <w:szCs w:val="21"/>
                    </w:rPr>
                    <w:t>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p>
              </w:tc>
              <w:tc>
                <w:tcPr>
                  <w:tcW w:w="3965"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pPr>
                  <w:r>
                    <w:rPr>
                      <w:rFonts w:hint="eastAsia" w:ascii="Times New Roman" w:hAnsi="Times New Roman" w:eastAsia="宋体" w:cs="Times New Roman"/>
                      <w:color w:val="auto"/>
                      <w:szCs w:val="22"/>
                    </w:rPr>
                    <w:t>火灾事故</w:t>
                  </w:r>
                  <w:r>
                    <w:rPr>
                      <w:rFonts w:hint="eastAsia" w:ascii="Times New Roman" w:hAnsi="Times New Roman" w:cs="Times New Roman"/>
                      <w:color w:val="auto"/>
                      <w:szCs w:val="22"/>
                      <w:lang w:eastAsia="zh-CN"/>
                    </w:rPr>
                    <w:t>为</w:t>
                  </w:r>
                  <w:r>
                    <w:rPr>
                      <w:rFonts w:hint="eastAsia" w:ascii="Times New Roman" w:hAnsi="Times New Roman" w:eastAsia="宋体" w:cs="Times New Roman"/>
                      <w:color w:val="auto"/>
                      <w:szCs w:val="22"/>
                    </w:rPr>
                    <w:t>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pacing w:line="360" w:lineRule="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交通意外伤害为零</w:t>
                  </w:r>
                </w:p>
              </w:tc>
              <w:tc>
                <w:tcPr>
                  <w:tcW w:w="3136" w:type="dxa"/>
                  <w:shd w:val="clear" w:color="auto" w:fill="auto"/>
                  <w:vAlign w:val="center"/>
                </w:tcPr>
                <w:p>
                  <w:pPr>
                    <w:rPr>
                      <w:rFonts w:hint="eastAsia"/>
                      <w:lang w:val="en-GB" w:eastAsia="zh-CN"/>
                    </w:rPr>
                  </w:pPr>
                  <w:r>
                    <w:rPr>
                      <w:rFonts w:hint="eastAsia"/>
                      <w:lang w:val="en-GB" w:eastAsia="zh-CN"/>
                    </w:rPr>
                    <w:t>运行控制</w:t>
                  </w:r>
                </w:p>
              </w:tc>
              <w:tc>
                <w:tcPr>
                  <w:tcW w:w="1350" w:type="dxa"/>
                  <w:shd w:val="clear" w:color="auto" w:fill="auto"/>
                  <w:vAlign w:val="center"/>
                </w:tcPr>
                <w:p>
                  <w:pPr>
                    <w:rPr>
                      <w:rFonts w:hint="eastAsia"/>
                      <w:lang w:val="en-GB" w:eastAsia="zh-CN"/>
                    </w:rPr>
                  </w:pPr>
                  <w:r>
                    <w:rPr>
                      <w:rFonts w:hint="eastAsia"/>
                      <w:lang w:val="en-GB" w:eastAsia="zh-CN"/>
                    </w:rPr>
                    <w:t>行政部</w:t>
                  </w:r>
                </w:p>
              </w:tc>
              <w:tc>
                <w:tcPr>
                  <w:tcW w:w="1774" w:type="dxa"/>
                  <w:shd w:val="clear" w:color="auto" w:fill="auto"/>
                  <w:vAlign w:val="center"/>
                </w:tcPr>
                <w:p>
                  <w:pPr>
                    <w:jc w:val="center"/>
                    <w:rPr>
                      <w:rFonts w:hint="default" w:ascii="宋体" w:hAnsi="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rFonts w:hint="eastAsia" w:ascii="Times New Roman" w:hAnsi="Times New Roman" w:eastAsia="宋体" w:cs="Times New Roman"/>
                      <w:color w:val="auto"/>
                      <w:szCs w:val="22"/>
                    </w:rPr>
                  </w:pPr>
                </w:p>
              </w:tc>
              <w:tc>
                <w:tcPr>
                  <w:tcW w:w="3136" w:type="dxa"/>
                  <w:shd w:val="clear" w:color="auto" w:fill="auto"/>
                  <w:vAlign w:val="center"/>
                </w:tcPr>
                <w:p>
                  <w:pPr>
                    <w:rPr>
                      <w:rFonts w:hint="eastAsia"/>
                      <w:lang w:val="en-GB" w:eastAsia="zh-CN"/>
                    </w:rPr>
                  </w:pPr>
                </w:p>
              </w:tc>
              <w:tc>
                <w:tcPr>
                  <w:tcW w:w="1350" w:type="dxa"/>
                  <w:shd w:val="clear" w:color="auto" w:fill="auto"/>
                  <w:vAlign w:val="center"/>
                </w:tcPr>
                <w:p>
                  <w:pPr>
                    <w:rPr>
                      <w:rFonts w:hint="eastAsia"/>
                      <w:lang w:val="en-GB" w:eastAsia="zh-CN"/>
                    </w:rPr>
                  </w:pPr>
                </w:p>
              </w:tc>
              <w:tc>
                <w:tcPr>
                  <w:tcW w:w="1774" w:type="dxa"/>
                  <w:shd w:val="clear" w:color="auto" w:fill="auto"/>
                  <w:vAlign w:val="center"/>
                </w:tcPr>
                <w:p>
                  <w:pPr>
                    <w:jc w:val="center"/>
                    <w:rPr>
                      <w:rFonts w:hint="eastAsia" w:ascii="宋体" w:hAnsi="宋体"/>
                      <w:lang w:val="en-US" w:eastAsia="zh-CN"/>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u w:val="single"/>
                <w:lang w:eastAsia="zh-CN"/>
              </w:rPr>
              <w:t>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A3"/>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Times New Roman" w:hAnsi="Times New Roman" w:eastAsia="宋体" w:cs="Times New Roman"/>
                <w:szCs w:val="22"/>
                <w:highlight w:val="none"/>
                <w:lang w:val="en-US" w:eastAsia="zh-CN"/>
              </w:rPr>
              <w:t>2021</w:t>
            </w:r>
            <w:r>
              <w:rPr>
                <w:rFonts w:hint="eastAsia" w:cs="Times New Roman"/>
                <w:szCs w:val="22"/>
                <w:highlight w:val="none"/>
                <w:lang w:val="en-US" w:eastAsia="zh-CN"/>
              </w:rPr>
              <w:t>年</w:t>
            </w:r>
            <w:r>
              <w:rPr>
                <w:rFonts w:hint="eastAsia" w:ascii="Times New Roman" w:hAnsi="Times New Roman" w:eastAsia="宋体" w:cs="Times New Roman"/>
                <w:szCs w:val="22"/>
                <w:highlight w:val="none"/>
                <w:lang w:val="en-US" w:eastAsia="zh-CN"/>
              </w:rPr>
              <w:t>11</w:t>
            </w:r>
            <w:r>
              <w:rPr>
                <w:rFonts w:hint="eastAsia" w:cs="Times New Roman"/>
                <w:szCs w:val="22"/>
                <w:highlight w:val="none"/>
                <w:lang w:val="en-US" w:eastAsia="zh-CN"/>
              </w:rPr>
              <w:t>月</w:t>
            </w:r>
            <w:r>
              <w:rPr>
                <w:rFonts w:hint="eastAsia" w:ascii="Times New Roman" w:hAnsi="Times New Roman" w:eastAsia="宋体" w:cs="Times New Roman"/>
                <w:szCs w:val="22"/>
                <w:highlight w:val="none"/>
                <w:lang w:val="en-US" w:eastAsia="zh-CN"/>
              </w:rPr>
              <w:t>12</w:t>
            </w:r>
            <w:r>
              <w:rPr>
                <w:rFonts w:hint="eastAsia" w:cs="Times New Roman"/>
                <w:szCs w:val="22"/>
                <w:highlight w:val="none"/>
                <w:lang w:val="en-US"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定期（每年）：2021年11月30日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Arial"/>
                <w:color w:val="auto"/>
                <w:spacing w:val="-6"/>
                <w:sz w:val="21"/>
                <w:szCs w:val="21"/>
                <w:lang w:val="en-US" w:eastAsia="zh-CN"/>
              </w:rPr>
              <w:t>2022年1月10-11日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宋体" w:hAnsi="宋体" w:eastAsia="宋体" w:cs="Arial"/>
                <w:color w:val="auto"/>
                <w:spacing w:val="-6"/>
                <w:sz w:val="21"/>
                <w:szCs w:val="21"/>
                <w:highlight w:val="none"/>
                <w:lang w:val="en-US" w:eastAsia="zh-CN"/>
              </w:rPr>
              <w:t>2022年1月21日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bookmarkStart w:id="34" w:name="_GoBack"/>
            <w:bookmarkEnd w:id="34"/>
          </w:p>
        </w:tc>
      </w:tr>
    </w:tbl>
    <w:p>
      <w:pPr>
        <w:pStyle w:val="12"/>
      </w:pPr>
    </w:p>
    <w:tbl>
      <w:tblPr>
        <w:tblStyle w:val="8"/>
        <w:tblW w:w="993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55"/>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5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A06EF6"/>
    <w:rsid w:val="094F6609"/>
    <w:rsid w:val="315E7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19098</Words>
  <Characters>19928</Characters>
  <Lines>150</Lines>
  <Paragraphs>42</Paragraphs>
  <TotalTime>0</TotalTime>
  <ScaleCrop>false</ScaleCrop>
  <LinksUpToDate>false</LinksUpToDate>
  <CharactersWithSpaces>20052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2022-04-07T01:14:50Z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