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339"/>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8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3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钟</w:t>
            </w:r>
            <w:r>
              <w:rPr>
                <w:rFonts w:hint="eastAsia" w:ascii="Times New Roman" w:hAnsi="Times New Roman" w:eastAsia="宋体" w:cs="Times New Roman"/>
                <w:sz w:val="24"/>
                <w:szCs w:val="24"/>
              </w:rPr>
              <w:t>琨</w:t>
            </w:r>
            <w:bookmarkEnd w:id="0"/>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叶文娟</w:t>
            </w:r>
            <w:r>
              <w:rPr>
                <w:rFonts w:hint="eastAsia" w:ascii="Times New Roman" w:hAnsi="Times New Roman" w:eastAsia="宋体" w:cs="Times New Roman"/>
                <w:sz w:val="24"/>
                <w:szCs w:val="24"/>
                <w:lang w:val="en-US" w:eastAsia="zh-CN"/>
              </w:rPr>
              <w:t xml:space="preserve">  </w:t>
            </w:r>
            <w:r>
              <w:rPr>
                <w:rFonts w:hint="eastAsia"/>
                <w:sz w:val="24"/>
                <w:szCs w:val="24"/>
                <w:lang w:val="en-US" w:eastAsia="zh-CN"/>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81" w:type="dxa"/>
            <w:vMerge w:val="continue"/>
            <w:vAlign w:val="center"/>
          </w:tcPr>
          <w:p/>
        </w:tc>
        <w:tc>
          <w:tcPr>
            <w:tcW w:w="1339"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r>
              <w:rPr>
                <w:rFonts w:hint="eastAsia" w:ascii="Times New Roman" w:hAnsi="Times New Roman" w:eastAsia="宋体" w:cs="Times New Roman"/>
                <w:sz w:val="24"/>
                <w:szCs w:val="24"/>
              </w:rPr>
              <w:t>：</w:t>
            </w:r>
            <w:bookmarkStart w:id="2" w:name="审核日期"/>
            <w:r>
              <w:rPr>
                <w:rFonts w:hint="eastAsia" w:ascii="Times New Roman" w:hAnsi="Times New Roman" w:eastAsia="宋体" w:cs="Times New Roman"/>
                <w:sz w:val="24"/>
                <w:szCs w:val="24"/>
              </w:rPr>
              <w:t>2022年04月06日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81" w:type="dxa"/>
            <w:vMerge w:val="continue"/>
            <w:vAlign w:val="center"/>
          </w:tcPr>
          <w:p/>
        </w:tc>
        <w:tc>
          <w:tcPr>
            <w:tcW w:w="1339"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both"/>
              <w:textAlignment w:val="baseline"/>
              <w:rPr>
                <w:rFonts w:hint="eastAsia" w:ascii="宋体" w:hAnsi="宋体" w:eastAsia="宋体" w:cs="Arial"/>
                <w:bCs/>
                <w:spacing w:val="-6"/>
                <w:kern w:val="2"/>
                <w:sz w:val="21"/>
                <w:szCs w:val="21"/>
                <w:lang w:val="en-US" w:eastAsia="zh-CN" w:bidi="ar-SA"/>
              </w:rPr>
            </w:pPr>
            <w:r>
              <w:rPr>
                <w:rFonts w:hint="eastAsia" w:ascii="宋体" w:hAnsi="宋体" w:eastAsia="宋体" w:cs="Arial"/>
                <w:bCs/>
                <w:spacing w:val="-6"/>
                <w:kern w:val="2"/>
                <w:sz w:val="21"/>
                <w:szCs w:val="21"/>
                <w:lang w:val="en-US" w:eastAsia="zh-CN" w:bidi="ar-SA"/>
              </w:rPr>
              <w:t>QEO:4.1理解组织及其环境、4.2理解相关方的需求和期望、4.3 确定管理体系的范围、4.4管理体系及其过程、5.1领导作用和承诺、5.2质量/环境/职业健康安全方针、5.3组织的岗位、职责和权限、6.1应对风险和机遇的措施、6.2质量/环境/职业健康安全目标及其实现的策划、7.1资源、7.4沟通/信息交流、9.3管理评审、10.1改进、10.3持续改进</w:t>
            </w:r>
          </w:p>
          <w:p>
            <w:pPr>
              <w:pStyle w:val="12"/>
              <w:keepNext w:val="0"/>
              <w:keepLines w:val="0"/>
              <w:pageBreakBefore w:val="0"/>
              <w:widowControl w:val="0"/>
              <w:kinsoku/>
              <w:wordWrap/>
              <w:overflowPunct/>
              <w:topLinePunct w:val="0"/>
              <w:autoSpaceDE/>
              <w:autoSpaceDN/>
              <w:bidi w:val="0"/>
              <w:spacing w:before="0" w:after="0" w:line="240" w:lineRule="auto"/>
              <w:jc w:val="both"/>
              <w:rPr>
                <w:rFonts w:hint="default" w:ascii="宋体" w:hAnsi="宋体" w:eastAsia="宋体" w:cs="Arial"/>
                <w:bCs/>
                <w:spacing w:val="-6"/>
                <w:kern w:val="2"/>
                <w:sz w:val="21"/>
                <w:szCs w:val="21"/>
                <w:lang w:val="en-US" w:eastAsia="zh-CN" w:bidi="ar-SA"/>
              </w:rPr>
            </w:pPr>
            <w:r>
              <w:rPr>
                <w:rFonts w:hint="eastAsia" w:ascii="宋体" w:hAnsi="宋体" w:eastAsia="宋体" w:cs="Arial"/>
                <w:bCs/>
                <w:spacing w:val="-6"/>
                <w:kern w:val="2"/>
                <w:sz w:val="21"/>
                <w:szCs w:val="21"/>
                <w:lang w:val="en-US" w:eastAsia="zh-CN" w:bidi="ar-SA"/>
              </w:rPr>
              <w:t>Q6.3变更的策划、8.3删减合理性/O5.4协商与参与</w:t>
            </w:r>
          </w:p>
          <w:p>
            <w:pPr>
              <w:spacing w:line="240" w:lineRule="auto"/>
              <w:rPr>
                <w:rFonts w:hint="eastAsia"/>
                <w:sz w:val="24"/>
                <w:szCs w:val="24"/>
              </w:rPr>
            </w:pPr>
            <w:r>
              <w:rPr>
                <w:rFonts w:hint="eastAsia" w:ascii="宋体" w:hAnsi="宋体" w:eastAsia="宋体" w:cs="Arial"/>
                <w:spacing w:val="-6"/>
                <w:sz w:val="21"/>
                <w:szCs w:val="21"/>
              </w:rPr>
              <w:t>标准/规范/法规的执行情况、上</w:t>
            </w:r>
            <w:r>
              <w:rPr>
                <w:rFonts w:hint="eastAsia" w:ascii="宋体" w:hAnsi="宋体" w:eastAsia="宋体" w:cs="Arial"/>
                <w:bCs/>
                <w:spacing w:val="-6"/>
                <w:kern w:val="2"/>
                <w:sz w:val="21"/>
                <w:szCs w:val="21"/>
                <w:lang w:val="en-US" w:eastAsia="zh-CN" w:bidi="ar-SA"/>
              </w:rPr>
              <w:t>次审核不符合项的验证、认证证书、标志的使用情况、顾客满意、投诉或事故、国家/地方监督抽查情况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8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004"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江西奥中成套设备有限公司成立</w:t>
            </w:r>
            <w:r>
              <w:rPr>
                <w:rFonts w:hint="eastAsia" w:ascii="宋体" w:hAnsi="宋体" w:cs="Arial"/>
                <w:color w:val="auto"/>
                <w:spacing w:val="-6"/>
                <w:sz w:val="21"/>
                <w:szCs w:val="21"/>
                <w:lang w:val="en-US" w:eastAsia="zh-CN"/>
              </w:rPr>
              <w:t>于</w:t>
            </w:r>
            <w:r>
              <w:rPr>
                <w:rFonts w:hint="eastAsia" w:ascii="宋体" w:hAnsi="宋体" w:eastAsia="宋体" w:cs="Arial"/>
                <w:color w:val="auto"/>
                <w:spacing w:val="-6"/>
                <w:sz w:val="21"/>
                <w:szCs w:val="21"/>
              </w:rPr>
              <w:t>2014年03月26日</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rPr>
              <w:t>公司注册资金1080万。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lang w:eastAsia="zh-CN"/>
              </w:rPr>
              <w:t>注册地址：</w:t>
            </w:r>
            <w:r>
              <w:rPr>
                <w:rFonts w:hint="eastAsia" w:ascii="宋体" w:hAnsi="宋体" w:eastAsia="宋体" w:cs="Arial"/>
                <w:color w:val="auto"/>
                <w:spacing w:val="-6"/>
                <w:sz w:val="21"/>
                <w:szCs w:val="21"/>
              </w:rPr>
              <w:t>江西省南昌市东湖区关马祠7号506室</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经营地址：</w:t>
            </w:r>
            <w:r>
              <w:rPr>
                <w:rFonts w:hint="eastAsia" w:ascii="宋体" w:hAnsi="宋体" w:eastAsia="宋体" w:cs="Arial"/>
                <w:color w:val="auto"/>
                <w:spacing w:val="-6"/>
                <w:sz w:val="21"/>
                <w:szCs w:val="21"/>
              </w:rPr>
              <w:t>江西省南昌市红谷滩新区丰和北大道59号丰和新城时代大厦23楼2311室</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经营范围：水泵、阀门、水处理设备、机电产品、电线电缆、金属材料及钢材、仪器仪表、通讯器材、发电设备的销售；机电设备、水泵的安装、维修；自营和代理各类商品和技术的进出口业务（依法须经批准的项目，经相关部门批准后方可开展经营活动）.</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rPr>
              <w:t>经营范围覆盖了体系认证范围</w:t>
            </w:r>
            <w:r>
              <w:rPr>
                <w:rFonts w:hint="eastAsia" w:ascii="宋体" w:hAnsi="宋体" w:eastAsia="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w:t>
            </w:r>
            <w:r>
              <w:rPr>
                <w:rFonts w:hint="eastAsia" w:ascii="宋体" w:hAnsi="宋体" w:cs="Arial"/>
                <w:color w:val="auto"/>
                <w:spacing w:val="-6"/>
                <w:sz w:val="21"/>
                <w:szCs w:val="21"/>
                <w:lang w:val="en-US" w:eastAsia="zh-CN"/>
              </w:rPr>
              <w:t>设置</w:t>
            </w:r>
            <w:r>
              <w:rPr>
                <w:rFonts w:hint="eastAsia" w:ascii="宋体" w:hAnsi="宋体" w:eastAsia="宋体" w:cs="Arial"/>
                <w:color w:val="auto"/>
                <w:spacing w:val="-6"/>
                <w:sz w:val="21"/>
                <w:szCs w:val="21"/>
              </w:rPr>
              <w:t>有</w:t>
            </w:r>
            <w:r>
              <w:rPr>
                <w:rFonts w:hint="eastAsia" w:ascii="宋体" w:hAnsi="宋体" w:cs="Arial"/>
                <w:color w:val="auto"/>
                <w:spacing w:val="-6"/>
                <w:sz w:val="21"/>
                <w:szCs w:val="21"/>
                <w:lang w:val="en-US" w:eastAsia="zh-CN"/>
              </w:rPr>
              <w:t>行政部</w:t>
            </w:r>
            <w:r>
              <w:rPr>
                <w:rFonts w:hint="eastAsia" w:ascii="宋体" w:hAnsi="宋体" w:eastAsia="宋体" w:cs="Arial"/>
                <w:color w:val="auto"/>
                <w:spacing w:val="-6"/>
                <w:sz w:val="21"/>
                <w:szCs w:val="21"/>
              </w:rPr>
              <w:t>、</w:t>
            </w:r>
            <w:r>
              <w:rPr>
                <w:rFonts w:hint="eastAsia" w:ascii="宋体" w:hAnsi="宋体" w:cs="Arial"/>
                <w:color w:val="auto"/>
                <w:spacing w:val="-6"/>
                <w:sz w:val="21"/>
                <w:szCs w:val="21"/>
                <w:lang w:val="en-US" w:eastAsia="zh-CN"/>
              </w:rPr>
              <w:t>供销部</w:t>
            </w:r>
            <w:r>
              <w:rPr>
                <w:rFonts w:hint="eastAsia" w:ascii="宋体" w:hAnsi="宋体" w:eastAsia="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外部因素——材料价格变动、政府政策、客户需求的变化、新技术的采用等；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8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公司确定了与质量、环境、职业健康安全管理体系有关的相关方包括顾客/最终消费者、员工、政府、外部供方、竞争对手、社会、相邻单位；明确了相关方的需求，以及监视和测量、采取应对措施等要求；</w:t>
            </w:r>
          </w:p>
          <w:p>
            <w:pPr>
              <w:spacing w:line="360" w:lineRule="auto"/>
              <w:ind w:firstLine="396" w:firstLineChars="200"/>
              <w:rPr>
                <w:rFonts w:hint="default"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基本符合。</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339"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004"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基于对4.1和4.2的考虑，分析了公司存在的风险和机遇：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存在的机遇：民以食为天，对整个行业的发展总体是利好；公司主要人员在行业内从业几十年，有着良好的口碑；给公司的发展带来了机遇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存在的风险：主要来自竞争对手的竞争；市场经济形势的变化；突发公共卫生事件（疫情）等</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重要环境因素：潜在火灾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能源消耗</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固废排放等，基本合理。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控制措施：一般固废集中收集外售；危废</w:t>
            </w:r>
            <w:r>
              <w:rPr>
                <w:rFonts w:hint="eastAsia" w:ascii="宋体" w:hAnsi="宋体" w:cs="Arial"/>
                <w:color w:val="auto"/>
                <w:spacing w:val="-6"/>
                <w:sz w:val="21"/>
                <w:szCs w:val="21"/>
                <w:lang w:val="en-US" w:eastAsia="zh-CN"/>
              </w:rPr>
              <w:t>由供应商带回以旧换新</w:t>
            </w:r>
            <w:r>
              <w:rPr>
                <w:rFonts w:hint="eastAsia" w:ascii="宋体" w:hAnsi="宋体" w:cs="Arial"/>
                <w:color w:val="auto"/>
                <w:spacing w:val="-6"/>
                <w:sz w:val="21"/>
                <w:szCs w:val="21"/>
              </w:rPr>
              <w:t>；提高安全意识</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做好应急预案。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不可接受风险有：触电伤害</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交通意外伤害</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控制措施：提高安全意识，做好火灾预防措施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《管理手册》A/0版</w:t>
            </w:r>
            <w:r>
              <w:rPr>
                <w:rFonts w:hint="eastAsia" w:ascii="宋体" w:hAnsi="宋体" w:eastAsia="宋体" w:cs="Arial"/>
                <w:color w:val="auto"/>
                <w:spacing w:val="-6"/>
                <w:sz w:val="21"/>
                <w:szCs w:val="21"/>
              </w:rPr>
              <w:t>，</w:t>
            </w:r>
            <w:r>
              <w:rPr>
                <w:rFonts w:hint="eastAsia" w:ascii="宋体" w:hAnsi="宋体" w:eastAsia="宋体" w:cs="Arial"/>
                <w:color w:val="auto"/>
                <w:spacing w:val="-6"/>
                <w:sz w:val="21"/>
                <w:szCs w:val="21"/>
                <w:lang w:val="en-US" w:eastAsia="zh-CN"/>
              </w:rPr>
              <w:t>于</w:t>
            </w:r>
            <w:r>
              <w:rPr>
                <w:rFonts w:hint="eastAsia" w:ascii="宋体" w:hAnsi="宋体" w:eastAsia="宋体" w:cs="Arial"/>
                <w:color w:val="auto"/>
                <w:spacing w:val="-6"/>
                <w:sz w:val="21"/>
                <w:szCs w:val="21"/>
              </w:rPr>
              <w:t>2020年0</w:t>
            </w:r>
            <w:r>
              <w:rPr>
                <w:rFonts w:hint="eastAsia" w:ascii="宋体" w:hAnsi="宋体" w:eastAsia="宋体" w:cs="Arial"/>
                <w:color w:val="auto"/>
                <w:spacing w:val="-6"/>
                <w:sz w:val="21"/>
                <w:szCs w:val="21"/>
                <w:lang w:val="en-US" w:eastAsia="zh-CN"/>
              </w:rPr>
              <w:t>9</w:t>
            </w:r>
            <w:r>
              <w:rPr>
                <w:rFonts w:hint="eastAsia" w:ascii="宋体" w:hAnsi="宋体" w:eastAsia="宋体" w:cs="Arial"/>
                <w:color w:val="auto"/>
                <w:spacing w:val="-6"/>
                <w:sz w:val="21"/>
                <w:szCs w:val="21"/>
              </w:rPr>
              <w:t>月</w:t>
            </w:r>
            <w:r>
              <w:rPr>
                <w:rFonts w:hint="eastAsia" w:ascii="宋体" w:hAnsi="宋体" w:eastAsia="宋体" w:cs="Arial"/>
                <w:color w:val="auto"/>
                <w:spacing w:val="-6"/>
                <w:sz w:val="21"/>
                <w:szCs w:val="21"/>
                <w:lang w:val="en-US" w:eastAsia="zh-CN"/>
              </w:rPr>
              <w:t>1</w:t>
            </w:r>
            <w:r>
              <w:rPr>
                <w:rFonts w:hint="eastAsia" w:ascii="宋体" w:hAnsi="宋体" w:eastAsia="宋体" w:cs="Arial"/>
                <w:color w:val="auto"/>
                <w:spacing w:val="-6"/>
                <w:sz w:val="21"/>
                <w:szCs w:val="21"/>
              </w:rPr>
              <w:t>5日</w:t>
            </w:r>
            <w:r>
              <w:rPr>
                <w:rFonts w:hint="eastAsia" w:ascii="宋体" w:hAnsi="宋体" w:eastAsia="宋体" w:cs="Arial"/>
                <w:color w:val="auto"/>
                <w:spacing w:val="-6"/>
                <w:sz w:val="21"/>
                <w:szCs w:val="21"/>
                <w:lang w:val="en-US" w:eastAsia="zh-CN"/>
              </w:rPr>
              <w:t>实</w:t>
            </w:r>
            <w:r>
              <w:rPr>
                <w:rFonts w:hint="eastAsia" w:ascii="宋体" w:hAnsi="宋体" w:cs="Arial"/>
                <w:color w:val="auto"/>
                <w:spacing w:val="-6"/>
                <w:sz w:val="21"/>
                <w:szCs w:val="21"/>
                <w:lang w:val="en-US" w:eastAsia="zh-CN"/>
              </w:rPr>
              <w:t>施</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个，版本号：A/0；</w:t>
            </w:r>
            <w:r>
              <w:rPr>
                <w:rFonts w:hint="eastAsia" w:ascii="宋体" w:hAnsi="宋体" w:eastAsia="宋体" w:cs="Arial"/>
                <w:color w:val="auto"/>
                <w:spacing w:val="-6"/>
                <w:sz w:val="21"/>
                <w:szCs w:val="21"/>
              </w:rPr>
              <w:t>2020年0</w:t>
            </w:r>
            <w:r>
              <w:rPr>
                <w:rFonts w:hint="eastAsia" w:ascii="宋体" w:hAnsi="宋体" w:eastAsia="宋体" w:cs="Arial"/>
                <w:color w:val="auto"/>
                <w:spacing w:val="-6"/>
                <w:sz w:val="21"/>
                <w:szCs w:val="21"/>
                <w:lang w:val="en-US" w:eastAsia="zh-CN"/>
              </w:rPr>
              <w:t>9</w:t>
            </w:r>
            <w:r>
              <w:rPr>
                <w:rFonts w:hint="eastAsia" w:ascii="宋体" w:hAnsi="宋体" w:eastAsia="宋体" w:cs="Arial"/>
                <w:color w:val="auto"/>
                <w:spacing w:val="-6"/>
                <w:sz w:val="21"/>
                <w:szCs w:val="21"/>
              </w:rPr>
              <w:t>月</w:t>
            </w:r>
            <w:r>
              <w:rPr>
                <w:rFonts w:hint="eastAsia" w:ascii="宋体" w:hAnsi="宋体" w:eastAsia="宋体" w:cs="Arial"/>
                <w:color w:val="auto"/>
                <w:spacing w:val="-6"/>
                <w:sz w:val="21"/>
                <w:szCs w:val="21"/>
                <w:lang w:val="en-US" w:eastAsia="zh-CN"/>
              </w:rPr>
              <w:t>1</w:t>
            </w:r>
            <w:r>
              <w:rPr>
                <w:rFonts w:hint="eastAsia" w:ascii="宋体" w:hAnsi="宋体" w:eastAsia="宋体" w:cs="Arial"/>
                <w:color w:val="auto"/>
                <w:spacing w:val="-6"/>
                <w:sz w:val="21"/>
                <w:szCs w:val="21"/>
              </w:rPr>
              <w:t>5日</w:t>
            </w:r>
            <w:r>
              <w:rPr>
                <w:rFonts w:hint="eastAsia" w:ascii="宋体" w:hAnsi="宋体" w:eastAsia="宋体" w:cs="Arial"/>
                <w:color w:val="auto"/>
                <w:spacing w:val="-6"/>
                <w:sz w:val="21"/>
                <w:szCs w:val="21"/>
                <w:lang w:val="en-US" w:eastAsia="zh-CN"/>
              </w:rPr>
              <w:t>实</w:t>
            </w:r>
            <w:r>
              <w:rPr>
                <w:rFonts w:hint="eastAsia" w:ascii="宋体" w:hAnsi="宋体" w:cs="Arial"/>
                <w:color w:val="auto"/>
                <w:spacing w:val="-6"/>
                <w:sz w:val="21"/>
                <w:szCs w:val="21"/>
                <w:lang w:val="en-US" w:eastAsia="zh-CN"/>
              </w:rPr>
              <w:t>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培训管理制度、能源使用管理规定、选择评价和重新评价供方的准则、进货验收规范、销售服务规范等</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建立有外来文件清单，</w:t>
            </w:r>
            <w:r>
              <w:rPr>
                <w:rFonts w:hint="eastAsia" w:ascii="宋体" w:hAnsi="宋体" w:cs="Arial"/>
                <w:color w:val="auto"/>
                <w:spacing w:val="-6"/>
                <w:sz w:val="21"/>
                <w:szCs w:val="21"/>
                <w:lang w:val="en-US" w:eastAsia="zh-CN"/>
              </w:rPr>
              <w:t>收集有中华人民共和国产品质量法、中华人民共和国环境保护法、中华人民共和国消防法、商品经营服务质量管理规范GB/T 16868-2009等7个；</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建立适用的法律法规及其他要求一览表，</w:t>
            </w:r>
            <w:r>
              <w:rPr>
                <w:rFonts w:hint="eastAsia" w:ascii="宋体" w:hAnsi="宋体" w:cs="Arial"/>
                <w:color w:val="auto"/>
                <w:spacing w:val="-6"/>
                <w:sz w:val="21"/>
                <w:szCs w:val="21"/>
                <w:lang w:val="en-US" w:eastAsia="zh-CN"/>
              </w:rPr>
              <w:t>收集质量、环境、职业健康安全相关法律法规、标准、条例、地方性法规等91个，基本符合。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本公司识别并确定了过程：采购过程、销售过程、检验与交付过程、绩效分析、评价与改进等多个过程。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业务</w:t>
            </w:r>
            <w:r>
              <w:rPr>
                <w:rFonts w:hint="eastAsia" w:ascii="宋体" w:hAnsi="宋体" w:cs="Arial"/>
                <w:color w:val="auto"/>
                <w:spacing w:val="-6"/>
                <w:sz w:val="21"/>
                <w:szCs w:val="21"/>
              </w:rPr>
              <w:t>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产品要求信息获取---产品要求评审----签订合同---采购----质检----销售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管理手册中</w:t>
            </w:r>
            <w:r>
              <w:rPr>
                <w:rFonts w:hint="eastAsia" w:ascii="宋体" w:hAnsi="宋体" w:cs="Arial"/>
                <w:color w:val="auto"/>
                <w:spacing w:val="-6"/>
                <w:sz w:val="21"/>
                <w:szCs w:val="21"/>
                <w:lang w:val="en-US" w:eastAsia="zh-CN"/>
              </w:rPr>
              <w:t>确定</w:t>
            </w:r>
            <w:r>
              <w:rPr>
                <w:rFonts w:hint="eastAsia" w:ascii="宋体" w:hAnsi="宋体" w:cs="Arial"/>
                <w:color w:val="auto"/>
                <w:spacing w:val="-6"/>
                <w:sz w:val="21"/>
                <w:szCs w:val="21"/>
              </w:rPr>
              <w:t>的认证范围：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Q：水处理设备、机电产品、电线电缆、仪器仪表的销售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E：水处理设备、机电产品、电线电缆、仪器仪表的销售所涉及场所的相关环境管理活动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O：水处理设备、机电产品、电线电缆、仪器仪表的销售所涉及场所的相关职业健康安全管理活动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不适用条款：Q8.3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本公司水处理设备、机电产品、电线电缆、仪器仪表的销售及其所涉及的相关管理活动均参照行业标准、企业规范及客户提供的尺寸、工艺要求组织销售，其销售过程不涉及GB/T19001-2016/ISO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管理体系</w:t>
            </w:r>
            <w:r>
              <w:rPr>
                <w:rFonts w:hint="eastAsia" w:ascii="宋体" w:hAnsi="宋体" w:cs="Arial"/>
                <w:color w:val="auto"/>
                <w:spacing w:val="-6"/>
                <w:sz w:val="21"/>
                <w:szCs w:val="21"/>
                <w:lang w:val="en-US" w:eastAsia="zh-CN"/>
              </w:rPr>
              <w:t>建立以来无变更；</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基本合理。</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8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0" w:type="auto"/>
            <w:vAlign w:val="top"/>
          </w:tcPr>
          <w:p>
            <w:pPr>
              <w:spacing w:line="360" w:lineRule="auto"/>
              <w:ind w:firstLine="420" w:firstLineChars="200"/>
              <w:rPr>
                <w:rFonts w:hint="eastAsia"/>
                <w:color w:val="auto"/>
              </w:rPr>
            </w:pPr>
            <w:r>
              <w:rPr>
                <w:rFonts w:hint="eastAsia"/>
                <w:color w:val="auto"/>
              </w:rPr>
              <w:t>《管理手册》中明确了公司的质量、环境、职业健康安全方针是：</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质量环境职业健康安全方针：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质量至上、持续创新、诚实守信、顾客至</w:t>
            </w:r>
            <w:bookmarkStart w:id="3" w:name="_GoBack"/>
            <w:bookmarkEnd w:id="3"/>
            <w:r>
              <w:rPr>
                <w:rFonts w:hint="eastAsia" w:ascii="Times New Roman" w:hAnsi="Times New Roman" w:eastAsia="宋体" w:cs="Times New Roman"/>
                <w:color w:val="auto"/>
                <w:szCs w:val="22"/>
              </w:rPr>
              <w:t xml:space="preserve">上； </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预防为主、降低风险、遵章守法、创造和谐。</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lang w:val="en-US" w:eastAsia="zh-CN"/>
              </w:rPr>
              <w:t>方针适宜于公司现状，在管理手册中明确，通过文件发放，</w:t>
            </w:r>
            <w:r>
              <w:rPr>
                <w:rFonts w:hint="eastAsia" w:cs="Times New Roman"/>
                <w:color w:val="auto"/>
                <w:szCs w:val="22"/>
                <w:lang w:val="en-US" w:eastAsia="zh-CN"/>
              </w:rPr>
              <w:t>使</w:t>
            </w:r>
            <w:r>
              <w:rPr>
                <w:rFonts w:hint="eastAsia" w:ascii="Times New Roman" w:hAnsi="Times New Roman" w:eastAsia="宋体" w:cs="Times New Roman"/>
                <w:color w:val="auto"/>
                <w:szCs w:val="22"/>
                <w:lang w:val="en-US" w:eastAsia="zh-CN"/>
              </w:rPr>
              <w:t>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1、交货及时率≥95%；</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2、顾客满意度≥92分；</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环境健康安全目标：</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固体废弃物分类处理率100%；</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火灾事故未0；</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交通意外伤害为零。</w:t>
            </w:r>
          </w:p>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保留有</w:t>
            </w:r>
            <w:r>
              <w:rPr>
                <w:rFonts w:hint="default" w:ascii="Times New Roman" w:hAnsi="Times New Roman" w:eastAsia="宋体" w:cs="Times New Roman"/>
                <w:color w:val="auto"/>
                <w:szCs w:val="22"/>
                <w:lang w:val="en-US" w:eastAsia="zh-CN"/>
              </w:rPr>
              <w:t>公司的环境和安全管理方案和控制措施。基本符合。</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保留“</w:t>
            </w:r>
            <w:r>
              <w:rPr>
                <w:rFonts w:hint="eastAsia" w:ascii="宋体" w:hAnsi="宋体" w:cs="Arial"/>
                <w:color w:val="auto"/>
                <w:spacing w:val="-6"/>
                <w:sz w:val="21"/>
                <w:szCs w:val="21"/>
                <w:lang w:val="en-US" w:eastAsia="zh-CN"/>
              </w:rPr>
              <w:t>公司目标实施措施表</w:t>
            </w:r>
            <w:r>
              <w:rPr>
                <w:rFonts w:hint="default" w:ascii="宋体" w:hAnsi="宋体" w:cs="Arial"/>
                <w:color w:val="auto"/>
                <w:spacing w:val="-6"/>
                <w:sz w:val="21"/>
                <w:szCs w:val="21"/>
                <w:lang w:val="en-US" w:eastAsia="zh-CN"/>
              </w:rPr>
              <w:t>”，对管理目标</w:t>
            </w:r>
            <w:r>
              <w:rPr>
                <w:rFonts w:hint="eastAsia" w:ascii="宋体" w:hAnsi="宋体" w:cs="Arial"/>
                <w:color w:val="auto"/>
                <w:spacing w:val="-6"/>
                <w:sz w:val="21"/>
                <w:szCs w:val="21"/>
                <w:lang w:val="en-US" w:eastAsia="zh-CN"/>
              </w:rPr>
              <w:t>按照部门</w:t>
            </w:r>
            <w:r>
              <w:rPr>
                <w:rFonts w:hint="default" w:ascii="宋体" w:hAnsi="宋体" w:cs="Arial"/>
                <w:color w:val="auto"/>
                <w:spacing w:val="-6"/>
                <w:sz w:val="21"/>
                <w:szCs w:val="21"/>
                <w:lang w:val="en-US" w:eastAsia="zh-CN"/>
              </w:rPr>
              <w:t>进行了分解</w:t>
            </w:r>
            <w:r>
              <w:rPr>
                <w:rFonts w:hint="eastAsia" w:ascii="宋体" w:hAnsi="宋体" w:cs="Arial"/>
                <w:color w:val="auto"/>
                <w:spacing w:val="-6"/>
                <w:sz w:val="21"/>
                <w:szCs w:val="21"/>
                <w:lang w:val="en-US" w:eastAsia="zh-CN"/>
              </w:rPr>
              <w:t>；</w:t>
            </w:r>
          </w:p>
          <w:p>
            <w:pPr>
              <w:spacing w:line="360" w:lineRule="auto"/>
              <w:ind w:firstLine="396" w:firstLineChars="200"/>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质量\环境\职业健康安全目标分解考核表</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2022.1.5，显示2021年</w:t>
            </w:r>
            <w:r>
              <w:rPr>
                <w:rFonts w:hint="default" w:ascii="宋体" w:hAnsi="宋体" w:eastAsia="宋体" w:cs="Arial"/>
                <w:color w:val="auto"/>
                <w:spacing w:val="-6"/>
                <w:sz w:val="21"/>
                <w:szCs w:val="21"/>
                <w:lang w:val="en-US" w:eastAsia="zh-CN"/>
              </w:rPr>
              <w:t>所有目标均已完成。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81"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339"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分管领导</w:t>
            </w:r>
            <w:r>
              <w:rPr>
                <w:rFonts w:hint="eastAsia" w:ascii="宋体" w:hAnsi="宋体" w:cs="Arial"/>
                <w:color w:val="auto"/>
                <w:spacing w:val="-6"/>
                <w:sz w:val="21"/>
                <w:szCs w:val="21"/>
              </w:rPr>
              <w:t>向最高管理者报告质量、环境、职业健康安全管理体系的绩效及改进机会，确保整个组织推动以顾客为关注焦点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公司设置有行政部、供销部。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各岗位的职责和权限、任职要求在《</w:t>
            </w:r>
            <w:r>
              <w:rPr>
                <w:rFonts w:hint="eastAsia" w:ascii="宋体" w:hAnsi="宋体" w:cs="Arial"/>
                <w:color w:val="auto"/>
                <w:spacing w:val="-6"/>
                <w:sz w:val="21"/>
                <w:szCs w:val="21"/>
                <w:lang w:val="en-US" w:eastAsia="zh-CN"/>
              </w:rPr>
              <w:t>岗位说明书</w:t>
            </w:r>
            <w:r>
              <w:rPr>
                <w:rFonts w:hint="eastAsia" w:ascii="宋体" w:hAnsi="宋体" w:cs="Arial"/>
                <w:color w:val="auto"/>
                <w:spacing w:val="-6"/>
                <w:sz w:val="21"/>
                <w:szCs w:val="21"/>
              </w:rPr>
              <w:t>》中规定。</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经查问组织内的职责和权限基本得到沟通，通过文件发布、传达、会议、培训等了解有关职责和权限。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81"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江西奥中成套设备有限公司成立于2014年03月26日；公司注册资金1080万。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注册地址：江西省南昌市东湖区关马祠7号506室.</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cs="Arial"/>
                <w:color w:val="auto"/>
                <w:spacing w:val="-6"/>
                <w:sz w:val="21"/>
                <w:szCs w:val="21"/>
                <w:lang w:val="en-US" w:eastAsia="zh-CN"/>
              </w:rPr>
              <w:t>经营地址：江西省南昌市红谷滩新区丰和北大道59号丰和新城时代大厦23楼2311室.</w:t>
            </w:r>
            <w:r>
              <w:rPr>
                <w:rFonts w:hint="eastAsia" w:ascii="Times New Roman" w:hAnsi="Times New Roman" w:eastAsia="宋体" w:cs="Times New Roman"/>
                <w:szCs w:val="22"/>
                <w:lang w:val="en-US" w:eastAsia="zh-CN"/>
              </w:rPr>
              <w:t>经营面积约</w:t>
            </w:r>
            <w:r>
              <w:rPr>
                <w:rFonts w:hint="eastAsia" w:cs="Times New Roman"/>
                <w:szCs w:val="22"/>
                <w:lang w:val="en-US" w:eastAsia="zh-CN"/>
              </w:rPr>
              <w:t>120</w:t>
            </w:r>
            <w:r>
              <w:rPr>
                <w:rFonts w:hint="eastAsia" w:ascii="Times New Roman" w:hAnsi="Times New Roman" w:eastAsia="宋体" w:cs="Times New Roman"/>
                <w:szCs w:val="22"/>
                <w:lang w:val="en-US" w:eastAsia="zh-CN"/>
              </w:rPr>
              <w:t>平方米</w:t>
            </w:r>
            <w:r>
              <w:rPr>
                <w:rFonts w:hint="eastAsia" w:cs="Times New Roman"/>
                <w:szCs w:val="22"/>
                <w:lang w:val="en-US"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公司配置了各种设施设备和工具包括：电脑、打印机、办公家具等；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主要环保、安全设施设备：灭火器、消防栓、垃圾桶等；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公司现有人员5人，销售人员和管理人员无资质要求；</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w:t>
            </w:r>
            <w:r>
              <w:rPr>
                <w:rFonts w:hint="eastAsia" w:ascii="宋体" w:hAnsi="宋体" w:cs="Arial"/>
                <w:color w:val="auto"/>
                <w:spacing w:val="-6"/>
                <w:sz w:val="21"/>
                <w:szCs w:val="21"/>
                <w:lang w:val="en-US" w:eastAsia="zh-CN"/>
              </w:rPr>
              <w:t>办公区域</w:t>
            </w:r>
            <w:r>
              <w:rPr>
                <w:rFonts w:hint="default" w:ascii="宋体" w:hAnsi="宋体" w:cs="Arial"/>
                <w:color w:val="auto"/>
                <w:spacing w:val="-6"/>
                <w:sz w:val="21"/>
                <w:szCs w:val="21"/>
                <w:lang w:val="en-US" w:eastAsia="zh-CN"/>
              </w:rPr>
              <w:t>配备了灭火器</w:t>
            </w:r>
            <w:r>
              <w:rPr>
                <w:rFonts w:hint="eastAsia" w:ascii="宋体" w:hAnsi="宋体" w:cs="Arial"/>
                <w:color w:val="auto"/>
                <w:spacing w:val="-6"/>
                <w:sz w:val="21"/>
                <w:szCs w:val="21"/>
                <w:lang w:val="en-US" w:eastAsia="zh-CN"/>
              </w:rPr>
              <w:t>、喷淋系统</w:t>
            </w:r>
            <w:r>
              <w:rPr>
                <w:rFonts w:hint="default" w:ascii="宋体" w:hAnsi="宋体" w:cs="Arial"/>
                <w:color w:val="auto"/>
                <w:spacing w:val="-6"/>
                <w:sz w:val="21"/>
                <w:szCs w:val="21"/>
                <w:lang w:val="en-US" w:eastAsia="zh-CN"/>
              </w:rPr>
              <w:t>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lang w:val="en-US" w:eastAsia="zh-CN" w:bidi="ar-SA"/>
              </w:rPr>
            </w:pPr>
            <w:r>
              <w:rPr>
                <w:rFonts w:hint="default" w:ascii="宋体" w:hAnsi="宋体" w:cs="Arial"/>
                <w:color w:val="auto"/>
                <w:spacing w:val="-6"/>
                <w:sz w:val="21"/>
                <w:szCs w:val="21"/>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78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u w:val="single"/>
                <w:lang w:val="en-US" w:eastAsia="zh-CN"/>
              </w:rPr>
              <w:t>叶文娟；</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a）负责</w:t>
            </w:r>
            <w:r>
              <w:rPr>
                <w:rFonts w:hint="eastAsia" w:ascii="宋体" w:hAnsi="宋体" w:cs="Arial"/>
                <w:color w:val="auto"/>
                <w:spacing w:val="-6"/>
                <w:sz w:val="21"/>
                <w:szCs w:val="21"/>
                <w:highlight w:val="none"/>
                <w:lang w:val="en-US" w:eastAsia="zh-CN"/>
              </w:rPr>
              <w:t>员工职业健康安全</w:t>
            </w:r>
            <w:r>
              <w:rPr>
                <w:rFonts w:hint="eastAsia" w:ascii="宋体" w:hAnsi="宋体" w:eastAsia="宋体" w:cs="Arial"/>
                <w:color w:val="auto"/>
                <w:spacing w:val="-6"/>
                <w:sz w:val="21"/>
                <w:szCs w:val="21"/>
                <w:highlight w:val="none"/>
                <w:lang w:val="en-US" w:eastAsia="zh-CN"/>
              </w:rPr>
              <w:t>日常工作；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c）接收、处理外部职业健康安全信息；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d）交流各级职能部门间产生的职业健康安全信息；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e）收集、处理和反馈员工所关心的职业健康安全问题；</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f）参与职业健康安全工作方针和程序的制定、评审和实施；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g）参与影响作业场所人员职业健康安全的任何变化的讨论。</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81"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2022年1月21日在会议室</w:t>
            </w:r>
            <w:r>
              <w:rPr>
                <w:rFonts w:hint="eastAsia" w:ascii="宋体" w:hAnsi="宋体" w:cs="Arial"/>
                <w:color w:val="auto"/>
                <w:spacing w:val="-6"/>
                <w:sz w:val="21"/>
                <w:szCs w:val="21"/>
                <w:highlight w:val="none"/>
                <w:lang w:val="en-US" w:eastAsia="zh-CN"/>
              </w:rPr>
              <w:t>总经理肖丽清</w:t>
            </w:r>
            <w:r>
              <w:rPr>
                <w:rFonts w:hint="eastAsia" w:ascii="宋体" w:hAnsi="宋体" w:eastAsia="宋体" w:cs="Arial"/>
                <w:color w:val="auto"/>
                <w:spacing w:val="-6"/>
                <w:sz w:val="21"/>
                <w:szCs w:val="21"/>
                <w:highlight w:val="none"/>
                <w:lang w:val="en-US" w:eastAsia="zh-CN"/>
              </w:rPr>
              <w:t>主持了管理评审。保留有管理评审计划、管理评审会议通知、评审记录、评审报告和改进措施计划等；</w:t>
            </w:r>
          </w:p>
          <w:p>
            <w:pPr>
              <w:adjustRightInd w:val="0"/>
              <w:snapToGrid w:val="0"/>
              <w:spacing w:line="360" w:lineRule="auto"/>
              <w:ind w:right="105" w:rightChars="50" w:firstLine="396" w:firstLineChars="200"/>
              <w:textAlignment w:val="baseline"/>
              <w:rPr>
                <w:rFonts w:hint="eastAsia" w:ascii="宋体" w:hAnsi="宋体" w:eastAsia="宋体" w:cs="Arial"/>
                <w:color w:val="FF0000"/>
                <w:spacing w:val="-6"/>
                <w:sz w:val="21"/>
                <w:szCs w:val="21"/>
                <w:highlight w:val="none"/>
                <w:lang w:val="en-US" w:eastAsia="zh-CN"/>
              </w:rPr>
            </w:pPr>
            <w:r>
              <w:rPr>
                <w:rFonts w:hint="eastAsia" w:ascii="宋体" w:hAnsi="宋体" w:eastAsia="宋体" w:cs="Arial"/>
                <w:color w:val="FF0000"/>
                <w:spacing w:val="-6"/>
                <w:sz w:val="21"/>
                <w:szCs w:val="21"/>
                <w:highlight w:val="none"/>
                <w:lang w:val="en-US" w:eastAsia="zh-CN"/>
              </w:rPr>
              <w:t>管理评审输入未包含上次管理评审改进措施完成情况，交流；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管理评审结论：经评审认为本公司的质量管理体系的建立和运行是充分的、适宜的、有效的。</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改进措施建议：加强供应商质量控制；</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8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管理者代表根据总经理意图组织持续改进过程的策划工作，由行政部实施持续改进过程的管理。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公司体系运行的持续改进，是通过方针、目标、管理方案的制定与实施，通过内外部的审核结果，管理评审的开展，分析和评价结果、纠正预防措施的实施，促进管理体系的持续改进。</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并通过对各项工作的考核，不断提出改进要求，全员的质量、环保、职业健康意识、安全意识有较大的提高，持续改进了管理体系的有效性。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81"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上次审核</w:t>
            </w:r>
            <w:r>
              <w:rPr>
                <w:rFonts w:hint="eastAsia" w:ascii="宋体" w:hAnsi="宋体" w:eastAsia="宋体" w:cs="Arial"/>
                <w:spacing w:val="-6"/>
                <w:sz w:val="21"/>
                <w:szCs w:val="21"/>
              </w:rPr>
              <w:t>问题验证</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0"/>
              <w:rPr>
                <w:rFonts w:hint="eastAsia" w:ascii="Times New Roman" w:hAnsi="Times New Roman" w:eastAsia="宋体" w:cs="Times New Roman"/>
                <w:color w:val="auto"/>
                <w:kern w:val="2"/>
                <w:sz w:val="21"/>
                <w:szCs w:val="22"/>
                <w:lang w:val="en-US" w:eastAsia="zh-CN" w:bidi="ar-SA"/>
              </w:rPr>
            </w:pPr>
            <w:r>
              <w:rPr>
                <w:rFonts w:hint="eastAsia" w:ascii="宋体" w:hAnsi="宋体" w:eastAsia="宋体" w:cs="Arial"/>
                <w:color w:val="auto"/>
                <w:spacing w:val="-6"/>
                <w:sz w:val="21"/>
                <w:szCs w:val="21"/>
                <w:highlight w:val="none"/>
                <w:lang w:val="en-US" w:eastAsia="zh-CN"/>
              </w:rPr>
              <w:t>上次审核时发现的问题：公司未提供对供方“江西恒进电缆有限公司”的供方调查评价表，经此次审核现场验证已关闭，整改措施有效。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1"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标准/规范/法规的执行情况</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ind w:firstLine="420" w:firstLineChars="0"/>
              <w:rPr>
                <w:rFonts w:hint="default" w:ascii="Times New Roman" w:hAnsi="Times New Roman" w:eastAsia="宋体" w:cs="Times New Roman"/>
                <w:color w:val="auto"/>
                <w:kern w:val="2"/>
                <w:sz w:val="21"/>
                <w:szCs w:val="22"/>
                <w:lang w:val="en-US" w:eastAsia="zh-CN" w:bidi="ar-SA"/>
              </w:rPr>
            </w:pPr>
            <w:r>
              <w:rPr>
                <w:rFonts w:hint="eastAsia" w:ascii="宋体" w:hAnsi="宋体" w:cs="Arial"/>
                <w:spacing w:val="-6"/>
                <w:szCs w:val="21"/>
              </w:rPr>
              <w:t>经查，公司在标准/规范/法规等方面执行良好，无不良记录。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1"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认证证书、标志的使用情况</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ind w:firstLine="420" w:firstLineChars="0"/>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eastAsia="zh-CN"/>
              </w:rPr>
              <w:t>用于招投标，符合要求</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781"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33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2021.12.24，对发放的顾客满意度调查表进行统计分析，顾客满意度为97。</w:t>
            </w:r>
          </w:p>
          <w:p>
            <w:pPr>
              <w:spacing w:line="360" w:lineRule="auto"/>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自公司成立以来，未受到上级主管部门有关质量、环保、职业健康安全的行政处罚。</w:t>
            </w:r>
          </w:p>
          <w:p>
            <w:pPr>
              <w:spacing w:line="360" w:lineRule="auto"/>
              <w:ind w:firstLine="42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szCs w:val="22"/>
                <w:lang w:val="en-US" w:eastAsia="zh-CN"/>
              </w:rPr>
              <w:t>未发生相关方投诉。暂时没有国家/地方抽查情况。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C601D"/>
    <w:rsid w:val="35E33124"/>
    <w:rsid w:val="3BE86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4431</Words>
  <Characters>4735</Characters>
  <Lines>1</Lines>
  <Paragraphs>1</Paragraphs>
  <TotalTime>26</TotalTime>
  <ScaleCrop>false</ScaleCrop>
  <LinksUpToDate>false</LinksUpToDate>
  <CharactersWithSpaces>4772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2022-04-07T01:15:38Z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60BE1CDD0D9744DA8E7F07A54E6B7B6E</vt:lpwstr>
  </property>
  <property fmtid="{D5CDD505-2E9C-101B-9397-08002B2CF9AE}" pid="3" name="KSOProductBuildVer">
    <vt:lpwstr>2052-11.1.0.11365</vt:lpwstr>
  </property>
</Properties>
</file>