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9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主管领导：骆丰收 </w:t>
            </w:r>
            <w:r>
              <w:rPr>
                <w:sz w:val="24"/>
                <w:szCs w:val="24"/>
              </w:rPr>
              <w:t xml:space="preserve">  </w:t>
            </w:r>
            <w:r>
              <w:rPr>
                <w:rFonts w:hint="eastAsia"/>
                <w:sz w:val="24"/>
                <w:szCs w:val="24"/>
              </w:rPr>
              <w:t>陪同人员：</w:t>
            </w:r>
            <w:r>
              <w:rPr>
                <w:rFonts w:hint="eastAsia"/>
                <w:sz w:val="24"/>
                <w:szCs w:val="24"/>
                <w:lang w:val="en-US" w:eastAsia="zh-CN"/>
              </w:rPr>
              <w:t>武燕龙</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pStyle w:val="12"/>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审核员：</w:t>
            </w:r>
            <w:r>
              <w:rPr>
                <w:rFonts w:hint="eastAsia"/>
                <w:sz w:val="21"/>
                <w:szCs w:val="21"/>
                <w:lang w:val="en-US" w:eastAsia="zh-CN"/>
              </w:rPr>
              <w:t>张静、赵瑞双（实习Q）</w:t>
            </w:r>
            <w:r>
              <w:rPr>
                <w:rFonts w:hint="eastAsia"/>
                <w:sz w:val="21"/>
                <w:szCs w:val="21"/>
              </w:rPr>
              <w:t xml:space="preserve">      </w:t>
            </w:r>
            <w:r>
              <w:rPr>
                <w:sz w:val="21"/>
                <w:szCs w:val="21"/>
              </w:rPr>
              <w:t xml:space="preserve">            </w:t>
            </w:r>
            <w:r>
              <w:rPr>
                <w:rFonts w:hint="eastAsia"/>
                <w:sz w:val="21"/>
                <w:szCs w:val="21"/>
              </w:rPr>
              <w:t>审核日期：</w:t>
            </w:r>
            <w:r>
              <w:rPr>
                <w:sz w:val="21"/>
                <w:szCs w:val="21"/>
              </w:rPr>
              <w:t>202</w:t>
            </w:r>
            <w:r>
              <w:rPr>
                <w:rFonts w:hint="eastAsia"/>
                <w:sz w:val="21"/>
                <w:szCs w:val="21"/>
                <w:lang w:val="en-US" w:eastAsia="zh-CN"/>
              </w:rPr>
              <w:t>2-03-24下午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7.5.1/8.1/8.4/9.1.1/9.2/</w:t>
            </w:r>
            <w:r>
              <w:rPr>
                <w:rFonts w:hint="eastAsia"/>
              </w:rPr>
              <w:t>9.3/</w:t>
            </w:r>
            <w:r>
              <w:rPr>
                <w:rFonts w:hint="eastAsia"/>
                <w:lang w:val="en-US" w:eastAsia="zh-CN"/>
              </w:rPr>
              <w:t>10.2/</w:t>
            </w:r>
            <w:r>
              <w:rPr>
                <w:rFonts w:hint="eastAsia"/>
              </w:rPr>
              <w:t>10.3</w:t>
            </w:r>
          </w:p>
          <w:p>
            <w:pPr>
              <w:pStyle w:val="12"/>
              <w:rPr>
                <w:rFonts w:hint="eastAsia"/>
              </w:rPr>
            </w:pPr>
            <w:r>
              <w:rPr>
                <w:rFonts w:hint="eastAsia"/>
              </w:rPr>
              <w:t>E:4.1/4.2/4.3/4.4/5.1/5.2/5.3/6.1/6.2/6.3/7.1/7.</w:t>
            </w:r>
            <w:r>
              <w:rPr>
                <w:rFonts w:hint="eastAsia"/>
                <w:lang w:val="en-US" w:eastAsia="zh-CN"/>
              </w:rPr>
              <w:t>4</w:t>
            </w:r>
            <w:r>
              <w:rPr>
                <w:rFonts w:hint="eastAsia"/>
              </w:rPr>
              <w:t>/</w:t>
            </w:r>
            <w:r>
              <w:rPr>
                <w:rFonts w:hint="eastAsia"/>
                <w:lang w:val="en-US" w:eastAsia="zh-CN"/>
              </w:rPr>
              <w:t>7.5.1/8.2/</w:t>
            </w:r>
            <w:r>
              <w:rPr>
                <w:rFonts w:hint="eastAsia"/>
              </w:rPr>
              <w:t xml:space="preserve">9.1.1/9.3/10.1/10.3 </w:t>
            </w:r>
          </w:p>
          <w:p>
            <w:pPr>
              <w:pStyle w:val="12"/>
              <w:rPr>
                <w:rFonts w:hint="eastAsia"/>
              </w:rPr>
            </w:pPr>
            <w:r>
              <w:rPr>
                <w:rFonts w:hint="eastAsia"/>
              </w:rPr>
              <w:t>O:4.1/4.2/4.3/4.4/5.1/5.2/5.3/6.1/6.2/6.3/7.1/7.</w:t>
            </w:r>
            <w:r>
              <w:rPr>
                <w:rFonts w:hint="eastAsia"/>
                <w:lang w:val="en-US" w:eastAsia="zh-CN"/>
              </w:rPr>
              <w:t>4</w:t>
            </w:r>
            <w:r>
              <w:rPr>
                <w:rFonts w:hint="eastAsia"/>
              </w:rPr>
              <w:t>/</w:t>
            </w:r>
            <w:r>
              <w:rPr>
                <w:rFonts w:hint="eastAsia"/>
                <w:lang w:val="en-US" w:eastAsia="zh-CN"/>
              </w:rPr>
              <w:t>7.5.1/8.2/</w:t>
            </w:r>
            <w:r>
              <w:rPr>
                <w:rFonts w:hint="eastAsia"/>
              </w:rPr>
              <w:t xml:space="preserve">9.1.1/9.3/10.1/10.3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kern w:val="2"/>
                <w:sz w:val="21"/>
                <w:lang w:val="en-US" w:eastAsia="zh-CN" w:bidi="ar-SA"/>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/5.4/5.5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 xml:space="preserve">Q4.1 </w:t>
            </w:r>
          </w:p>
          <w:p>
            <w:pPr>
              <w:rPr>
                <w:rFonts w:hint="eastAsia"/>
              </w:rPr>
            </w:pPr>
            <w:r>
              <w:rPr>
                <w:rFonts w:hint="eastAsia"/>
              </w:rPr>
              <w:t>F4.1</w:t>
            </w:r>
          </w:p>
          <w:p>
            <w:pPr>
              <w:pStyle w:val="12"/>
              <w:rPr>
                <w:rFonts w:hint="eastAsia"/>
                <w:lang w:val="en-US" w:eastAsia="zh-CN"/>
              </w:rPr>
            </w:pPr>
            <w:r>
              <w:rPr>
                <w:rFonts w:hint="eastAsia"/>
                <w:lang w:val="en-US" w:eastAsia="zh-CN"/>
              </w:rPr>
              <w:t>E4.1</w:t>
            </w:r>
          </w:p>
          <w:p>
            <w:pPr>
              <w:pStyle w:val="12"/>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市场竞争较为激烈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人员能力、责任心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老板非常重视产品质量和安全、良好的客户群体、良好声誉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2"/>
                    <w:rPr>
                      <w:rFonts w:hint="default"/>
                      <w:lang w:val="en-US" w:eastAsia="zh-CN"/>
                    </w:rPr>
                  </w:pPr>
                  <w:r>
                    <w:rPr>
                      <w:rFonts w:hint="eastAsia"/>
                      <w:sz w:val="21"/>
                      <w:szCs w:val="21"/>
                      <w:lang w:val="en-US" w:eastAsia="zh-CN"/>
                    </w:rPr>
                    <w:t>行业影响，总体利润偏低；目前市场开拓比较薄弱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default"/>
                      <w:lang w:val="en-US" w:eastAsia="zh-CN"/>
                    </w:rPr>
                  </w:pPr>
                  <w:r>
                    <w:rPr>
                      <w:rFonts w:hint="eastAsia"/>
                      <w:lang w:val="en-US" w:eastAsia="zh-CN"/>
                    </w:rPr>
                    <w:t>担心经营不合规，导致监管部门的处罚；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highlight w:val="none"/>
                      <w:lang w:val="en-US" w:eastAsia="zh-CN"/>
                    </w:rPr>
                  </w:pPr>
                  <w:r>
                    <w:rPr>
                      <w:rFonts w:hint="eastAsia"/>
                      <w:highlight w:val="none"/>
                      <w:lang w:val="en-US" w:eastAsia="zh-CN"/>
                    </w:rPr>
                    <w:t>通过建立管理体系提升管理，市场开拓，如教育系统的师生餐；</w:t>
                  </w:r>
                </w:p>
                <w:p>
                  <w:pPr>
                    <w:rPr>
                      <w:rFonts w:hint="default" w:eastAsia="宋体"/>
                      <w:highlight w:val="yellow"/>
                      <w:lang w:val="en-US" w:eastAsia="zh-CN"/>
                    </w:rPr>
                  </w:pPr>
                  <w:r>
                    <w:rPr>
                      <w:rFonts w:hint="eastAsia"/>
                      <w:highlight w:val="none"/>
                      <w:lang w:val="en-US" w:eastAsia="zh-CN"/>
                    </w:rPr>
                    <w:t>总部通过提供净菜、预制菜来供餐食加工，整合资源，降低成本，更好的赢得市场客户</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rPr>
              <w:t xml:space="preserve">Q4.2 </w:t>
            </w:r>
          </w:p>
          <w:p>
            <w:pPr>
              <w:rPr>
                <w:rFonts w:hint="eastAsia"/>
              </w:rPr>
            </w:pPr>
            <w:r>
              <w:rPr>
                <w:rFonts w:hint="eastAsia"/>
              </w:rPr>
              <w:t>F4.2</w:t>
            </w:r>
          </w:p>
          <w:p>
            <w:pPr>
              <w:pStyle w:val="1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顺义区市场监督管理局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8"/>
                    <w:ind w:left="0" w:leftChars="0" w:firstLine="0" w:firstLineChars="0"/>
                    <w:rPr>
                      <w:rFonts w:hint="default"/>
                      <w:highlight w:val="none"/>
                      <w:lang w:val="en-US" w:eastAsia="zh-CN"/>
                    </w:rPr>
                  </w:pPr>
                  <w:r>
                    <w:rPr>
                      <w:rFonts w:hint="eastAsia" w:cs="Times New Roman"/>
                      <w:kern w:val="2"/>
                      <w:sz w:val="21"/>
                      <w:szCs w:val="24"/>
                      <w:highlight w:val="none"/>
                      <w:lang w:val="en-US" w:eastAsia="zh-CN" w:bidi="ar-SA"/>
                    </w:rPr>
                    <w:t>安徽丰原生物新材料有限公司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8"/>
                    <w:ind w:left="0" w:leftChars="0" w:firstLine="0" w:firstLineChars="0"/>
                    <w:rPr>
                      <w:rFonts w:hint="default"/>
                      <w:highlight w:val="none"/>
                      <w:lang w:val="en-US" w:eastAsia="zh-CN"/>
                    </w:rPr>
                  </w:pPr>
                  <w:r>
                    <w:rPr>
                      <w:rFonts w:hint="eastAsia"/>
                      <w:highlight w:val="none"/>
                      <w:lang w:val="en-US" w:eastAsia="zh-CN"/>
                    </w:rPr>
                    <w:t>顺义区市场监督管理、商务局等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集体用餐人员</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 xml:space="preserve">资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rFonts w:hint="eastAsia"/>
                      <w:lang w:val="en-US" w:eastAsia="zh-CN"/>
                    </w:rPr>
                    <w:t>周边为金马工业园</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顺义区</w:t>
                  </w:r>
                  <w:r>
                    <w:rPr>
                      <w:rFonts w:hint="eastAsia"/>
                      <w:szCs w:val="22"/>
                      <w:highlight w:val="none"/>
                      <w:vertAlign w:val="baseline"/>
                      <w:lang w:val="en-US" w:eastAsia="zh-CN"/>
                    </w:rPr>
                    <w:t>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安徽丰原生物新材料有限公司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顺义区市场监督管理、商务局等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集体用餐人员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周边为金马工业园</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如：顺义区应急管理局，顺义区消防大队，高丽营消防支队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8"/>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安徽丰原生物新材料有限公司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集体用餐人员</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周边为金马工业园</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《理解相关方的需求和期望》</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确定质量/食品安全管理体系的范围</w:t>
            </w:r>
          </w:p>
        </w:tc>
        <w:tc>
          <w:tcPr>
            <w:tcW w:w="1040" w:type="dxa"/>
            <w:vMerge w:val="restart"/>
            <w:shd w:val="clear" w:color="auto" w:fill="auto"/>
          </w:tcPr>
          <w:p>
            <w:r>
              <w:rPr>
                <w:rFonts w:hint="eastAsia"/>
              </w:rPr>
              <w:t>Q4.3</w:t>
            </w:r>
          </w:p>
          <w:p>
            <w:pPr>
              <w:rPr>
                <w:rFonts w:hint="eastAsia"/>
              </w:rPr>
            </w:pPr>
            <w:r>
              <w:rPr>
                <w:rFonts w:hint="eastAsia"/>
              </w:rPr>
              <w:t>F4.3</w:t>
            </w:r>
          </w:p>
          <w:p>
            <w:pPr>
              <w:pStyle w:val="2"/>
              <w:rPr>
                <w:rFonts w:hint="eastAsia"/>
                <w:lang w:val="en-US" w:eastAsia="zh-CN"/>
              </w:rPr>
            </w:pPr>
            <w:r>
              <w:rPr>
                <w:rFonts w:hint="eastAsia"/>
                <w:lang w:val="en-US" w:eastAsia="zh-CN"/>
              </w:rPr>
              <w:t>E4.3</w:t>
            </w:r>
          </w:p>
          <w:p>
            <w:pPr>
              <w:pStyle w:val="2"/>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2"/>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18"/>
                      <w:szCs w:val="18"/>
                    </w:rPr>
                    <w:t>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rFonts w:hint="eastAsia"/>
                      <w:sz w:val="18"/>
                      <w:szCs w:val="18"/>
                      <w:lang w:eastAsia="zh-CN"/>
                    </w:rPr>
                  </w:pPr>
                  <w:bookmarkStart w:id="1" w:name="审核范围"/>
                  <w:r>
                    <w:rPr>
                      <w:sz w:val="18"/>
                      <w:szCs w:val="18"/>
                    </w:rPr>
                    <w:t>Q：集体用餐配送（热食类食品制售）</w:t>
                  </w:r>
                </w:p>
                <w:p>
                  <w:pPr>
                    <w:rPr>
                      <w:sz w:val="18"/>
                      <w:szCs w:val="18"/>
                    </w:rPr>
                  </w:pPr>
                  <w:r>
                    <w:rPr>
                      <w:sz w:val="18"/>
                      <w:szCs w:val="18"/>
                    </w:rPr>
                    <w:t>E：集体用餐配送（热食类食品制售）所涉及场所的相关环境管理活动</w:t>
                  </w:r>
                </w:p>
                <w:p>
                  <w:pPr>
                    <w:rPr>
                      <w:sz w:val="18"/>
                      <w:szCs w:val="18"/>
                    </w:rPr>
                  </w:pPr>
                  <w:r>
                    <w:rPr>
                      <w:sz w:val="18"/>
                      <w:szCs w:val="18"/>
                    </w:rPr>
                    <w:t>O：集体用餐配送（热食类食品制售）所涉及场所的相关职业健康安全管理活动</w:t>
                  </w:r>
                </w:p>
                <w:p>
                  <w:pPr>
                    <w:rPr>
                      <w:sz w:val="18"/>
                      <w:szCs w:val="18"/>
                    </w:rPr>
                  </w:pPr>
                  <w:r>
                    <w:rPr>
                      <w:sz w:val="18"/>
                      <w:szCs w:val="18"/>
                    </w:rPr>
                    <w:t>F：位于北京市顺义区高丽营镇金马工业园二街4-5号（门牌号）北京同得发餐饮管理有限公司的集体用餐配送（热食类食品制售）</w:t>
                  </w:r>
                </w:p>
                <w:p>
                  <w:pPr>
                    <w:autoSpaceDE w:val="0"/>
                    <w:autoSpaceDN w:val="0"/>
                    <w:adjustRightInd w:val="0"/>
                    <w:jc w:val="left"/>
                  </w:pPr>
                  <w:r>
                    <w:rPr>
                      <w:sz w:val="18"/>
                      <w:szCs w:val="18"/>
                    </w:rPr>
                    <w:t>H：位于北京市顺义区高丽营镇金马工业园二街4-5号（门牌号）北京同得发餐饮管理有限公司的集体用餐配送（热食类食品制售）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asciiTheme="minorEastAsia" w:hAnsiTheme="minorEastAsia" w:eastAsiaTheme="minorEastAsia"/>
                      <w:sz w:val="18"/>
                      <w:szCs w:val="18"/>
                    </w:rPr>
                    <w:t>北京市顺义区高丽营镇金马工业园二街4-5号（门牌号）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asciiTheme="minorEastAsia" w:hAnsiTheme="minorEastAsia" w:eastAsiaTheme="minorEastAsia"/>
                      <w:sz w:val="18"/>
                      <w:szCs w:val="18"/>
                    </w:rPr>
                    <w:t>北京市顺义区高丽营镇金马工业园二街4-5号（门牌号）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2021-11-10</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auto"/>
          </w:tcPr>
          <w:p>
            <w:pPr>
              <w:shd w:val="clear"/>
            </w:pPr>
            <w:r>
              <w:rPr>
                <w:rFonts w:hint="eastAsia"/>
              </w:rPr>
              <w:t>HACCP体系</w:t>
            </w:r>
          </w:p>
          <w:p>
            <w:pPr>
              <w:shd w:val="clear"/>
            </w:pPr>
            <w:r>
              <w:rPr>
                <w:rFonts w:hint="eastAsia"/>
              </w:rPr>
              <w:t>总要求</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2"/>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11</w:t>
            </w:r>
            <w:r>
              <w:rPr>
                <w:rFonts w:hint="eastAsia"/>
                <w:u w:val="single"/>
              </w:rPr>
              <w:t xml:space="preserve"> 月 </w:t>
            </w:r>
            <w:r>
              <w:rPr>
                <w:rFonts w:hint="eastAsia"/>
                <w:u w:val="single"/>
                <w:lang w:val="en-US" w:eastAsia="zh-CN"/>
              </w:rPr>
              <w:t>10</w:t>
            </w:r>
            <w:r>
              <w:rPr>
                <w:rFonts w:hint="eastAsia"/>
                <w:u w:val="single"/>
              </w:rPr>
              <w:t xml:space="preserve"> 日</w:t>
            </w:r>
            <w:r>
              <w:rPr>
                <w:rFonts w:hint="eastAsia"/>
              </w:rPr>
              <w:t>建立了文件化HACCP体系；</w:t>
            </w:r>
          </w:p>
          <w:p>
            <w:pPr>
              <w:pStyle w:val="22"/>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2"/>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2"/>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H：位于北京市顺义区高丽营镇金马工业园二街4-5号（门牌号）北京同得发餐饮管理有限公司的集体用餐配送（热食类食品制售）；</w:t>
            </w:r>
          </w:p>
          <w:p>
            <w:pPr>
              <w:pStyle w:val="22"/>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2"/>
              <w:shd w:val="clear"/>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22"/>
              <w:shd w:val="clear"/>
              <w:adjustRightInd w:val="0"/>
              <w:snapToGrid w:val="0"/>
              <w:spacing w:line="360" w:lineRule="auto"/>
              <w:rPr>
                <w:highlight w:val="yellow"/>
                <w:u w:val="single"/>
              </w:rPr>
            </w:pPr>
            <w:r>
              <w:rPr>
                <w:rFonts w:hint="eastAsia"/>
              </w:rPr>
              <w:t>外包过程包括：</w:t>
            </w:r>
            <w:r>
              <w:rPr>
                <w:rFonts w:hint="eastAsia"/>
                <w:u w:val="single"/>
                <w:lang w:val="en-US" w:eastAsia="zh-CN"/>
              </w:rPr>
              <w:t xml:space="preserve">  </w:t>
            </w:r>
            <w:r>
              <w:rPr>
                <w:rFonts w:hint="eastAsia"/>
                <w:color w:val="000000"/>
                <w:u w:val="single"/>
                <w:lang w:val="en-US" w:eastAsia="zh-CN"/>
              </w:rPr>
              <w:t>第三方检测、虫鼠害控制和垃圾清运、油烟机清理</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shd w:val="clear"/>
              <w:jc w:val="left"/>
            </w:pPr>
            <w:r>
              <w:rPr>
                <w:rFonts w:hint="eastAsia"/>
              </w:rPr>
              <w:t>质量/食品安全管理体系及其过程</w:t>
            </w:r>
          </w:p>
        </w:tc>
        <w:tc>
          <w:tcPr>
            <w:tcW w:w="1040" w:type="dxa"/>
            <w:vMerge w:val="restart"/>
            <w:shd w:val="clear" w:color="auto" w:fill="auto"/>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12"/>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2"/>
              <w:shd w:val="clear"/>
              <w:adjustRightInd w:val="0"/>
              <w:snapToGrid w:val="0"/>
              <w:spacing w:line="360" w:lineRule="auto"/>
              <w:rPr>
                <w:rFonts w:hint="default"/>
                <w:u w:val="single"/>
                <w:lang w:val="en-US"/>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2"/>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2"/>
              <w:shd w:val="clear"/>
              <w:adjustRightInd w:val="0"/>
              <w:snapToGrid w:val="0"/>
              <w:spacing w:line="360" w:lineRule="auto"/>
              <w:rPr>
                <w:highlight w:val="yellow"/>
                <w:u w:val="single"/>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u w:val="single"/>
                <w:lang w:val="en-US" w:eastAsia="zh-CN"/>
              </w:rPr>
              <w:t>第三方检测、虫鼠害控制和垃圾清运、油烟机清理</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2"/>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2"/>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u w:val="single"/>
                <w:lang w:val="en-US" w:eastAsia="zh-CN"/>
              </w:rPr>
              <w:t>第三方检测、虫鼠害控制和垃圾清运、油烟机清理</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环境</w:t>
            </w:r>
            <w:r>
              <w:rPr>
                <w:rFonts w:hint="eastAsia"/>
              </w:rPr>
              <w:t>管理体系</w:t>
            </w:r>
          </w:p>
        </w:tc>
        <w:tc>
          <w:tcPr>
            <w:tcW w:w="1040" w:type="dxa"/>
            <w:vMerge w:val="restart"/>
            <w:shd w:val="clear" w:color="auto" w:fill="auto"/>
          </w:tcPr>
          <w:p>
            <w:pPr>
              <w:rPr>
                <w:rFonts w:hint="eastAsia"/>
              </w:rPr>
            </w:pPr>
            <w:r>
              <w:rPr>
                <w:rFonts w:hint="eastAsia"/>
                <w:lang w:val="en-US" w:eastAsia="zh-CN"/>
              </w:rPr>
              <w:t>E</w:t>
            </w:r>
            <w:r>
              <w:rPr>
                <w:rFonts w:hint="eastAsia"/>
              </w:rPr>
              <w:t xml:space="preserve">4.4 </w:t>
            </w:r>
          </w:p>
          <w:p>
            <w:pPr>
              <w:pStyle w:val="12"/>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000000"/>
                <w:u w:val="single"/>
                <w:lang w:val="en-US" w:eastAsia="zh-CN"/>
              </w:rPr>
              <w:t>第三方检测、虫鼠害控制和垃圾清运、油烟机清理</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2"/>
              <w:rPr>
                <w:rFonts w:hint="eastAsia"/>
                <w:lang w:val="en-US" w:eastAsia="zh-CN"/>
              </w:rPr>
            </w:pPr>
          </w:p>
          <w:p>
            <w:pPr>
              <w:pStyle w:val="1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color w:val="000000"/>
                <w:u w:val="single"/>
                <w:lang w:val="en-US" w:eastAsia="zh-CN"/>
              </w:rPr>
              <w:t>第三方检测、虫鼠害控制和垃圾清运、油烟机清理；</w:t>
            </w:r>
          </w:p>
          <w:p>
            <w:pPr>
              <w:pStyle w:val="1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领导作用与承诺</w:t>
            </w:r>
          </w:p>
        </w:tc>
        <w:tc>
          <w:tcPr>
            <w:tcW w:w="1040"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1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2"/>
              <w:rPr>
                <w:rFonts w:hint="eastAsia"/>
                <w:color w:val="000000"/>
                <w:szCs w:val="21"/>
                <w:highlight w:val="lightGray"/>
                <w:u w:val="none"/>
                <w:lang w:val="en-US" w:eastAsia="zh-CN"/>
              </w:rPr>
            </w:pPr>
          </w:p>
          <w:p>
            <w:pPr>
              <w:pStyle w:val="1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2"/>
              <w:rPr>
                <w:rFonts w:hint="eastAsia"/>
                <w:color w:val="000000"/>
                <w:szCs w:val="21"/>
                <w:u w:val="single"/>
              </w:rPr>
            </w:pPr>
          </w:p>
          <w:p>
            <w:pPr>
              <w:pStyle w:val="1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2"/>
              <w:rPr>
                <w:rFonts w:hint="eastAsia"/>
                <w:color w:val="000000"/>
                <w:szCs w:val="21"/>
                <w:u w:val="single"/>
                <w:lang w:val="en-US" w:eastAsia="zh-CN"/>
              </w:rPr>
            </w:pPr>
          </w:p>
          <w:p>
            <w:pPr>
              <w:pStyle w:val="1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12"/>
              <w:rPr>
                <w:rFonts w:hint="eastAsia"/>
                <w:color w:val="auto"/>
                <w:szCs w:val="21"/>
                <w:highlight w:val="none"/>
                <w:u w:val="single"/>
                <w:lang w:val="en-US" w:eastAsia="zh-CN"/>
              </w:rPr>
            </w:pPr>
          </w:p>
          <w:p>
            <w:pPr>
              <w:pStyle w:val="1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12"/>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12"/>
              <w:rPr>
                <w:rFonts w:hint="eastAsia"/>
                <w:color w:val="000000"/>
                <w:szCs w:val="21"/>
                <w:u w:val="singl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以顾客为关注焦点</w:t>
            </w:r>
          </w:p>
          <w:p/>
        </w:tc>
        <w:tc>
          <w:tcPr>
            <w:tcW w:w="1040"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pPr>
            <w:r>
              <w:rPr>
                <w:rFonts w:hint="eastAsia"/>
              </w:rPr>
              <w:t>食品安全文化</w:t>
            </w:r>
          </w:p>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体系建立以来，从食品安全法、安全生产、岗位要求等方面开展培训，提供员工的食品安全意识。详见办公室 H3.2条款审核记录。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3</w:t>
            </w:r>
            <w:r>
              <w:rPr>
                <w:rFonts w:hint="eastAsia"/>
                <w:highlight w:val="none"/>
                <w:u w:val="single"/>
              </w:rPr>
              <w:t xml:space="preserve"> 月</w:t>
            </w:r>
            <w:r>
              <w:rPr>
                <w:rFonts w:hint="eastAsia"/>
                <w:highlight w:val="none"/>
                <w:u w:val="single"/>
                <w:lang w:val="en-US" w:eastAsia="zh-CN"/>
              </w:rPr>
              <w:t>16</w:t>
            </w:r>
            <w:r>
              <w:rPr>
                <w:rFonts w:hint="eastAsia"/>
                <w:highlight w:val="none"/>
                <w:u w:val="single"/>
              </w:rPr>
              <w:t>日</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管理</w:t>
            </w:r>
            <w:r>
              <w:rPr>
                <w:rFonts w:hint="eastAsia"/>
              </w:rPr>
              <w:t>方针</w:t>
            </w:r>
          </w:p>
        </w:tc>
        <w:tc>
          <w:tcPr>
            <w:tcW w:w="1040" w:type="dxa"/>
            <w:vMerge w:val="restart"/>
            <w:shd w:val="clear" w:color="auto" w:fill="auto"/>
          </w:tcPr>
          <w:p>
            <w:r>
              <w:rPr>
                <w:rFonts w:hint="eastAsia"/>
              </w:rPr>
              <w:t>Q5.2</w:t>
            </w:r>
          </w:p>
          <w:p>
            <w:pPr>
              <w:rPr>
                <w:rFonts w:hint="eastAsia"/>
              </w:rPr>
            </w:pPr>
            <w:r>
              <w:rPr>
                <w:rFonts w:hint="eastAsia"/>
              </w:rPr>
              <w:t>F5.2</w:t>
            </w:r>
          </w:p>
          <w:p>
            <w:pPr>
              <w:pStyle w:val="12"/>
              <w:rPr>
                <w:rFonts w:hint="eastAsia"/>
                <w:lang w:val="en-US" w:eastAsia="zh-CN"/>
              </w:rPr>
            </w:pPr>
            <w:r>
              <w:rPr>
                <w:rFonts w:hint="eastAsia"/>
                <w:lang w:val="en-US" w:eastAsia="zh-CN"/>
              </w:rPr>
              <w:t>E5.2</w:t>
            </w:r>
          </w:p>
          <w:p>
            <w:pPr>
              <w:pStyle w:val="1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1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2"/>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r>
                    <w:rPr>
                      <w:rFonts w:hint="eastAsia"/>
                    </w:rPr>
                    <w:t>办公室</w:t>
                  </w:r>
                </w:p>
              </w:tc>
              <w:tc>
                <w:tcPr>
                  <w:tcW w:w="2580" w:type="dxa"/>
                </w:tcPr>
                <w:p>
                  <w:r>
                    <w:rPr>
                      <w:rFonts w:hint="eastAsia"/>
                    </w:rPr>
                    <w:t>生产/服务设计开发过程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销售部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采购部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生产部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骆丰收 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采购部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highlight w:val="none"/>
                    </w:rPr>
                  </w:pPr>
                  <w:r>
                    <w:rPr>
                      <w:rFonts w:hint="eastAsia"/>
                      <w:highlight w:val="none"/>
                    </w:rPr>
                    <w:t>办公室</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销售部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highlight w:val="none"/>
                      <w:lang w:val="en-US" w:eastAsia="zh-CN"/>
                    </w:rPr>
                    <w:t>质检部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采购部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2"/>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骆丰收先生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2"/>
              <w:rPr>
                <w:rFonts w:hint="eastAsia"/>
                <w:sz w:val="21"/>
                <w:szCs w:val="21"/>
                <w:highlight w:val="none"/>
                <w:lang w:val="en-US" w:eastAsia="zh-CN"/>
              </w:rPr>
            </w:pPr>
          </w:p>
          <w:p>
            <w:pPr>
              <w:pStyle w:val="2"/>
              <w:rPr>
                <w:rFonts w:hint="default"/>
                <w:sz w:val="21"/>
                <w:szCs w:val="21"/>
                <w:highlight w:val="none"/>
                <w:lang w:val="en-US" w:eastAsia="zh-CN"/>
              </w:rPr>
            </w:pPr>
            <w:r>
              <w:rPr>
                <w:rFonts w:hint="eastAsia"/>
                <w:sz w:val="21"/>
                <w:szCs w:val="21"/>
                <w:highlight w:val="none"/>
                <w:lang w:val="en-US" w:eastAsia="zh-CN"/>
              </w:rPr>
              <w:t>OHSMS：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采购部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2"/>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骆丰收先</w:t>
            </w:r>
            <w:r>
              <w:rPr>
                <w:rFonts w:hint="eastAsia"/>
                <w:sz w:val="21"/>
                <w:szCs w:val="21"/>
                <w:u w:val="single"/>
                <w:lang w:val="en-US" w:eastAsia="zh-CN"/>
              </w:rPr>
              <w:t xml:space="preserve">生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auto"/>
          </w:tcPr>
          <w:p/>
        </w:tc>
        <w:tc>
          <w:tcPr>
            <w:tcW w:w="1040"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骆丰收先生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2"/>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lang w:val="en-US" w:eastAsia="zh-CN"/>
                    </w:rPr>
                    <w:t>担心经营不合规，导致监管部门的处罚</w:t>
                  </w:r>
                </w:p>
              </w:tc>
              <w:tc>
                <w:tcPr>
                  <w:tcW w:w="4073" w:type="dxa"/>
                </w:tcPr>
                <w:p>
                  <w:pPr>
                    <w:pStyle w:val="2"/>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2"/>
                    <w:numPr>
                      <w:ilvl w:val="0"/>
                      <w:numId w:val="2"/>
                    </w:numPr>
                    <w:ind w:leftChars="0"/>
                    <w:rPr>
                      <w:rFonts w:hint="default" w:eastAsia="宋体"/>
                      <w:highlight w:val="none"/>
                      <w:lang w:val="en-US" w:eastAsia="zh-CN"/>
                    </w:rPr>
                  </w:pPr>
                  <w:r>
                    <w:rPr>
                      <w:rFonts w:hint="eastAsia"/>
                      <w:sz w:val="21"/>
                      <w:szCs w:val="21"/>
                      <w:highlight w:val="none"/>
                      <w:lang w:val="en-US" w:eastAsia="zh-CN"/>
                    </w:rPr>
                    <w:t>不定期收集食品安全、环保、职业健康等法律法规标准要求；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lang w:val="en-US" w:eastAsia="zh-CN"/>
                    </w:rPr>
                  </w:pPr>
                  <w:r>
                    <w:rPr>
                      <w:rFonts w:hint="eastAsia"/>
                      <w:lang w:val="en-US" w:eastAsia="zh-CN"/>
                    </w:rPr>
                    <w:t>油烟机清理控制不当产生火灾事故</w:t>
                  </w:r>
                </w:p>
              </w:tc>
              <w:tc>
                <w:tcPr>
                  <w:tcW w:w="4073" w:type="dxa"/>
                  <w:vAlign w:val="top"/>
                </w:tcPr>
                <w:p>
                  <w:pPr>
                    <w:widowControl/>
                    <w:spacing w:line="360" w:lineRule="exact"/>
                    <w:jc w:val="left"/>
                    <w:textAlignment w:val="center"/>
                    <w:rPr>
                      <w:rFonts w:hint="default"/>
                      <w:lang w:val="en-US" w:eastAsia="zh-CN"/>
                    </w:rPr>
                  </w:pPr>
                  <w:r>
                    <w:rPr>
                      <w:rFonts w:hint="eastAsia"/>
                      <w:lang w:val="en-US" w:eastAsia="zh-CN"/>
                    </w:rPr>
                    <w:t>委托外部有资质的第三方进行清理；</w:t>
                  </w:r>
                </w:p>
                <w:p>
                  <w:pPr>
                    <w:widowControl/>
                    <w:spacing w:line="360" w:lineRule="exact"/>
                    <w:jc w:val="left"/>
                    <w:textAlignment w:val="center"/>
                    <w:rPr>
                      <w:rFonts w:hint="default"/>
                      <w:lang w:val="en-US" w:eastAsia="zh-CN"/>
                    </w:rPr>
                  </w:pPr>
                  <w:r>
                    <w:rPr>
                      <w:rFonts w:hint="eastAsia"/>
                      <w:lang w:val="en-US" w:eastAsia="zh-CN"/>
                    </w:rPr>
                    <w:t>自行定期检查；</w:t>
                  </w:r>
                </w:p>
                <w:p>
                  <w:pPr>
                    <w:widowControl/>
                    <w:spacing w:line="360" w:lineRule="exact"/>
                    <w:jc w:val="left"/>
                    <w:textAlignment w:val="center"/>
                    <w:rPr>
                      <w:rFonts w:hint="default"/>
                      <w:lang w:val="en-US" w:eastAsia="zh-CN"/>
                    </w:rPr>
                  </w:pPr>
                  <w:r>
                    <w:rPr>
                      <w:rFonts w:hint="eastAsia"/>
                      <w:lang w:val="en-US" w:eastAsia="zh-CN"/>
                    </w:rPr>
                    <w:t>火灾应急演练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食材控制不当或未烧熟煮透，导致就餐者食物中毒</w:t>
                  </w:r>
                </w:p>
              </w:tc>
              <w:tc>
                <w:tcPr>
                  <w:tcW w:w="4073" w:type="dxa"/>
                  <w:vAlign w:val="top"/>
                </w:tcPr>
                <w:p>
                  <w:pPr>
                    <w:numPr>
                      <w:ilvl w:val="0"/>
                      <w:numId w:val="3"/>
                    </w:numPr>
                    <w:rPr>
                      <w:rFonts w:hint="default"/>
                      <w:highlight w:val="none"/>
                      <w:lang w:val="en-US" w:eastAsia="zh-CN"/>
                    </w:rPr>
                  </w:pPr>
                  <w:r>
                    <w:rPr>
                      <w:rFonts w:hint="eastAsia"/>
                      <w:highlight w:val="none"/>
                      <w:lang w:val="en-US" w:eastAsia="zh-CN"/>
                    </w:rPr>
                    <w:t>建立食物中毒预案，组织演练；</w:t>
                  </w:r>
                </w:p>
                <w:p>
                  <w:pPr>
                    <w:pStyle w:val="8"/>
                    <w:numPr>
                      <w:ilvl w:val="0"/>
                      <w:numId w:val="3"/>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w:t>
                  </w:r>
                </w:p>
                <w:p>
                  <w:pPr>
                    <w:pStyle w:val="8"/>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 不定期组织培训</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2"/>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通过建立体系，提升管理能力，开拓市场</w:t>
                  </w:r>
                </w:p>
              </w:tc>
              <w:tc>
                <w:tcPr>
                  <w:tcW w:w="4528" w:type="dxa"/>
                </w:tcPr>
                <w:p>
                  <w:pPr>
                    <w:pStyle w:val="8"/>
                    <w:numPr>
                      <w:ilvl w:val="0"/>
                      <w:numId w:val="0"/>
                    </w:numPr>
                    <w:jc w:val="left"/>
                    <w:rPr>
                      <w:rFonts w:hint="default"/>
                      <w:highlight w:val="none"/>
                      <w:lang w:val="en-US" w:eastAsia="zh-CN"/>
                    </w:rPr>
                  </w:pPr>
                  <w:r>
                    <w:rPr>
                      <w:rFonts w:hint="eastAsia"/>
                      <w:highlight w:val="none"/>
                      <w:lang w:val="en-US" w:eastAsia="zh-CN"/>
                    </w:rPr>
                    <w:t>总部通过提供净菜、预制菜来供餐食加工，整合资源，降低成本，更好的赢得市场客户</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2"/>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2"/>
              <w:rPr>
                <w:rFonts w:hint="eastAsia" w:ascii="Times New Roman" w:hAnsi="Times New Roman" w:eastAsia="宋体" w:cs="Times New Roman"/>
                <w:kern w:val="2"/>
                <w:sz w:val="21"/>
                <w:szCs w:val="20"/>
                <w:highlight w:val="none"/>
                <w:lang w:val="en-US" w:eastAsia="zh-CN" w:bidi="ar-SA"/>
              </w:rPr>
            </w:pPr>
          </w:p>
          <w:p>
            <w:pPr>
              <w:pStyle w:val="2"/>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2"/>
              <w:rPr>
                <w:highlight w:val="none"/>
              </w:rPr>
            </w:pPr>
          </w:p>
          <w:p>
            <w:pPr>
              <w:pStyle w:val="2"/>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A8"/>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办公室每周检查、主管部门和厂级每月、年度监测；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班组级每天进行安全检查；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0"/>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不发生职业健康安全事故，建立良好声誉</w:t>
                  </w:r>
                </w:p>
                <w:p>
                  <w:pPr>
                    <w:pStyle w:val="2"/>
                    <w:rPr>
                      <w:rFonts w:hint="default"/>
                      <w:lang w:val="en-US" w:eastAsia="zh-CN"/>
                    </w:rPr>
                  </w:pPr>
                  <w:r>
                    <w:rPr>
                      <w:rFonts w:hint="eastAsia"/>
                      <w:color w:val="auto"/>
                      <w:sz w:val="21"/>
                      <w:szCs w:val="21"/>
                      <w:highlight w:val="none"/>
                      <w:vertAlign w:val="baseline"/>
                      <w:lang w:val="en-US" w:eastAsia="zh-CN"/>
                    </w:rPr>
                    <w:t>建立良好的工作氛围</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auto"/>
          </w:tcPr>
          <w:p/>
        </w:tc>
        <w:tc>
          <w:tcPr>
            <w:tcW w:w="104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auto"/>
          </w:tcPr>
          <w:p/>
        </w:tc>
        <w:tc>
          <w:tcPr>
            <w:tcW w:w="104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648"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auto"/>
          </w:tcPr>
          <w:p>
            <w:r>
              <w:rPr>
                <w:rFonts w:hint="eastAsia"/>
              </w:rPr>
              <w:t>Q6.2</w:t>
            </w:r>
          </w:p>
          <w:p>
            <w:pPr>
              <w:rPr>
                <w:rFonts w:hint="eastAsia"/>
              </w:rPr>
            </w:pPr>
            <w:r>
              <w:rPr>
                <w:rFonts w:hint="eastAsia"/>
              </w:rPr>
              <w:t>F6.2</w:t>
            </w:r>
          </w:p>
          <w:p>
            <w:pPr>
              <w:pStyle w:val="12"/>
              <w:rPr>
                <w:rFonts w:hint="eastAsia"/>
                <w:color w:val="000000"/>
                <w:szCs w:val="21"/>
                <w:highlight w:val="none"/>
                <w:lang w:val="en-US" w:eastAsia="zh-CN"/>
              </w:rPr>
            </w:pPr>
            <w:r>
              <w:rPr>
                <w:rFonts w:hint="eastAsia"/>
                <w:color w:val="000000"/>
                <w:szCs w:val="21"/>
                <w:highlight w:val="none"/>
                <w:lang w:val="en-US" w:eastAsia="zh-CN"/>
              </w:rPr>
              <w:t>E6.2</w:t>
            </w:r>
          </w:p>
          <w:p>
            <w:pPr>
              <w:pStyle w:val="1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1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2"/>
              <w:rPr>
                <w:rFonts w:hint="eastAsia"/>
                <w:highlight w:val="none"/>
              </w:rPr>
            </w:pPr>
          </w:p>
          <w:p>
            <w:pPr>
              <w:pStyle w:val="2"/>
              <w:rPr>
                <w:rFonts w:hint="eastAsia"/>
                <w:highlight w:val="none"/>
              </w:rPr>
            </w:pP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963"/>
              <w:gridCol w:w="2073"/>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40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963"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073"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664"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1664"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21</w:t>
                  </w:r>
                  <w:r>
                    <w:rPr>
                      <w:rFonts w:hint="eastAsia"/>
                      <w:color w:val="000000"/>
                      <w:szCs w:val="18"/>
                      <w:highlight w:val="none"/>
                    </w:rPr>
                    <w:t>年</w:t>
                  </w:r>
                  <w:r>
                    <w:rPr>
                      <w:rFonts w:hint="eastAsia"/>
                      <w:color w:val="000000"/>
                      <w:szCs w:val="18"/>
                      <w:highlight w:val="none"/>
                      <w:lang w:val="en-US" w:eastAsia="zh-CN"/>
                    </w:rPr>
                    <w:t>11</w:t>
                  </w:r>
                  <w:r>
                    <w:rPr>
                      <w:rFonts w:hint="eastAsia"/>
                      <w:color w:val="000000"/>
                      <w:szCs w:val="18"/>
                      <w:highlight w:val="none"/>
                    </w:rPr>
                    <w:t>月-</w:t>
                  </w:r>
                  <w:r>
                    <w:rPr>
                      <w:rFonts w:hint="eastAsia"/>
                      <w:color w:val="000000"/>
                      <w:szCs w:val="18"/>
                      <w:highlight w:val="none"/>
                      <w:lang w:val="en-US" w:eastAsia="zh-CN"/>
                    </w:rPr>
                    <w:t>2022年2</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szCs w:val="21"/>
                      <w:highlight w:val="none"/>
                    </w:rPr>
                    <w:t>投产用原辅料合格率100%；</w:t>
                  </w:r>
                </w:p>
              </w:tc>
              <w:tc>
                <w:tcPr>
                  <w:tcW w:w="963" w:type="dxa"/>
                  <w:shd w:val="clear" w:color="auto" w:fill="auto"/>
                  <w:vAlign w:val="center"/>
                </w:tcPr>
                <w:p>
                  <w:pPr>
                    <w:spacing w:line="34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原辅料合格数量/总数量X100%</w:t>
                  </w:r>
                </w:p>
              </w:tc>
              <w:tc>
                <w:tcPr>
                  <w:tcW w:w="1664"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rPr>
                    <w:t>出厂产品合格率100%；</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出厂产品合格数/出厂总数X100%</w:t>
                  </w:r>
                </w:p>
              </w:tc>
              <w:tc>
                <w:tcPr>
                  <w:tcW w:w="1664"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02" w:type="dxa"/>
                  <w:shd w:val="clear" w:color="auto" w:fill="auto"/>
                  <w:vAlign w:val="center"/>
                </w:tcPr>
                <w:p>
                  <w:pPr>
                    <w:spacing w:line="340" w:lineRule="exact"/>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rPr>
                    <w:t>顾客满意度96％以上；</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顾客满意度调查</w:t>
                  </w:r>
                </w:p>
              </w:tc>
              <w:tc>
                <w:tcPr>
                  <w:tcW w:w="1664"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销售部</w:t>
                  </w:r>
                </w:p>
              </w:tc>
              <w:tc>
                <w:tcPr>
                  <w:tcW w:w="1664"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eastAsia" w:ascii="宋体" w:hAnsi="宋体" w:eastAsia="宋体" w:cs="Times New Roman"/>
                      <w:kern w:val="2"/>
                      <w:sz w:val="18"/>
                      <w:szCs w:val="18"/>
                      <w:highlight w:val="none"/>
                      <w:lang w:val="en-US" w:eastAsia="zh-CN" w:bidi="ar-SA"/>
                    </w:rPr>
                  </w:pPr>
                  <w:r>
                    <w:rPr>
                      <w:rFonts w:hint="eastAsia" w:ascii="宋体" w:hAnsi="宋体"/>
                      <w:szCs w:val="21"/>
                      <w:highlight w:val="none"/>
                    </w:rPr>
                    <w:t>追求食品安全事故为0。</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按实际发生次数</w:t>
                  </w:r>
                </w:p>
              </w:tc>
              <w:tc>
                <w:tcPr>
                  <w:tcW w:w="1664"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02"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废气达标排放</w:t>
                  </w:r>
                </w:p>
              </w:tc>
              <w:tc>
                <w:tcPr>
                  <w:tcW w:w="963"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吸油烟机运行正常</w:t>
                  </w:r>
                </w:p>
              </w:tc>
              <w:tc>
                <w:tcPr>
                  <w:tcW w:w="1664"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生产部</w:t>
                  </w:r>
                </w:p>
              </w:tc>
              <w:tc>
                <w:tcPr>
                  <w:tcW w:w="1664" w:type="dxa"/>
                  <w:shd w:val="clear" w:color="auto" w:fill="auto"/>
                  <w:vAlign w:val="center"/>
                </w:tcPr>
                <w:p>
                  <w:pPr>
                    <w:jc w:val="both"/>
                    <w:rPr>
                      <w:rFonts w:hint="eastAsia"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火灾、触电事故为 0</w:t>
                  </w:r>
                </w:p>
              </w:tc>
              <w:tc>
                <w:tcPr>
                  <w:tcW w:w="963"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073"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按实际发生次数</w:t>
                  </w:r>
                </w:p>
              </w:tc>
              <w:tc>
                <w:tcPr>
                  <w:tcW w:w="1664"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eastAsia" w:ascii="宋体" w:hAnsi="宋体" w:eastAsia="宋体" w:cs="Times New Roman"/>
                      <w:color w:val="auto"/>
                      <w:kern w:val="2"/>
                      <w:sz w:val="18"/>
                      <w:szCs w:val="18"/>
                      <w:highlight w:val="none"/>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073" w:type="dxa"/>
                  <w:shd w:val="clear" w:color="auto" w:fill="auto"/>
                  <w:vAlign w:val="center"/>
                </w:tcPr>
                <w:p>
                  <w:pPr>
                    <w:rPr>
                      <w:rFonts w:hint="eastAsia" w:ascii="宋体" w:hAnsi="宋体" w:eastAsia="宋体" w:cs="宋体"/>
                      <w:kern w:val="2"/>
                      <w:sz w:val="24"/>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default" w:ascii="宋体" w:hAnsi="宋体" w:eastAsia="宋体" w:cs="Times New Roman"/>
                      <w:color w:val="auto"/>
                      <w:kern w:val="2"/>
                      <w:sz w:val="18"/>
                      <w:szCs w:val="18"/>
                      <w:highlight w:val="none"/>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073" w:type="dxa"/>
                  <w:shd w:val="clear" w:color="auto" w:fill="auto"/>
                  <w:vAlign w:val="center"/>
                </w:tcPr>
                <w:p>
                  <w:pPr>
                    <w:rPr>
                      <w:rFonts w:hint="eastAsia" w:ascii="宋体" w:hAnsi="宋体" w:eastAsia="宋体" w:cs="宋体"/>
                      <w:kern w:val="2"/>
                      <w:sz w:val="21"/>
                      <w:szCs w:val="21"/>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02"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073"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pStyle w:val="2"/>
              <w:rPr>
                <w:rFonts w:hint="eastAsia"/>
                <w:highlight w:val="none"/>
              </w:rPr>
            </w:pPr>
          </w:p>
          <w:p>
            <w:pPr>
              <w:pStyle w:val="1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2022年3月目标在实施中；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资源（总则）</w:t>
            </w:r>
          </w:p>
        </w:tc>
        <w:tc>
          <w:tcPr>
            <w:tcW w:w="1040"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2"/>
              <w:rPr>
                <w:rFonts w:hint="eastAsia"/>
                <w:color w:val="000000"/>
                <w:sz w:val="21"/>
                <w:szCs w:val="21"/>
                <w:lang w:val="en-US" w:eastAsia="zh-CN"/>
              </w:rPr>
            </w:pPr>
            <w:r>
              <w:rPr>
                <w:rFonts w:hint="eastAsia"/>
                <w:color w:val="000000"/>
                <w:sz w:val="21"/>
                <w:szCs w:val="21"/>
                <w:lang w:val="en-US" w:eastAsia="zh-CN"/>
              </w:rPr>
              <w:t>E7.1</w:t>
            </w:r>
          </w:p>
          <w:p>
            <w:pPr>
              <w:pStyle w:val="2"/>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680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2</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垃圾桶、油烟机、隔油池、可燃性气体报警器、消防泵房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灭火器、消防栓、可燃性气体报警器、消防泵房  （列举2~4种）</w:t>
            </w:r>
          </w:p>
          <w:p>
            <w:pPr>
              <w:pStyle w:val="2"/>
              <w:rPr>
                <w:highlight w:val="yellow"/>
              </w:rPr>
            </w:pPr>
          </w:p>
          <w:p>
            <w:pPr>
              <w:pStyle w:val="2"/>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52"/>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FE"/>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2"/>
              <w:rPr>
                <w:highlight w:val="yellow"/>
              </w:rPr>
            </w:pPr>
          </w:p>
          <w:p>
            <w:pPr>
              <w:pStyle w:val="2"/>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2"/>
              <w:rPr>
                <w:rFonts w:hint="default"/>
                <w:color w:val="000000"/>
                <w:szCs w:val="21"/>
                <w:highlight w:val="none"/>
                <w:lang w:val="en-US" w:eastAsia="zh-CN"/>
              </w:rPr>
            </w:pPr>
          </w:p>
          <w:p>
            <w:pPr>
              <w:numPr>
                <w:ilvl w:val="0"/>
                <w:numId w:val="5"/>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2"/>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第三方检测、虫鼠害控制和垃圾清运、油烟机清理由外部提供</w:t>
            </w:r>
          </w:p>
          <w:p>
            <w:pPr>
              <w:numPr>
                <w:ilvl w:val="0"/>
                <w:numId w:val="4"/>
              </w:num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r>
              <w:rPr>
                <w:rFonts w:hint="eastAsia"/>
              </w:rPr>
              <w:t xml:space="preserve">沟通  </w:t>
            </w:r>
          </w:p>
        </w:tc>
        <w:tc>
          <w:tcPr>
            <w:tcW w:w="1040" w:type="dxa"/>
            <w:vMerge w:val="restart"/>
            <w:shd w:val="clear" w:color="auto" w:fill="auto"/>
          </w:tcPr>
          <w:p>
            <w:r>
              <w:rPr>
                <w:rFonts w:hint="eastAsia"/>
              </w:rPr>
              <w:t>Q</w:t>
            </w:r>
            <w:r>
              <w:rPr>
                <w:rFonts w:hint="eastAsia"/>
                <w:lang w:val="en-US" w:eastAsia="zh-CN"/>
              </w:rPr>
              <w:t>EOF</w:t>
            </w:r>
            <w:r>
              <w:rPr>
                <w:rFonts w:hint="eastAsia"/>
              </w:rPr>
              <w:t>7.4</w:t>
            </w:r>
          </w:p>
          <w:p>
            <w:pPr>
              <w:pStyle w:val="1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2"/>
              <w:shd w:val="clear"/>
              <w:adjustRightInd w:val="0"/>
              <w:snapToGrid w:val="0"/>
              <w:spacing w:line="360" w:lineRule="auto"/>
              <w:rPr>
                <w:rFonts w:hint="eastAsia"/>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w:t>
            </w:r>
            <w:r>
              <w:rPr>
                <w:rFonts w:hint="eastAsia"/>
                <w:color w:val="000000"/>
                <w:u w:val="single"/>
                <w:lang w:val="en-US" w:eastAsia="zh-CN"/>
              </w:rPr>
              <w:t>第三方检测、虫鼠害控制和垃圾清运、油烟机清理</w:t>
            </w:r>
            <w:r>
              <w:rPr>
                <w:rFonts w:hint="eastAsia"/>
                <w:highlight w:val="none"/>
                <w:u w:val="single"/>
                <w:lang w:val="en-US" w:eastAsia="zh-CN"/>
              </w:rPr>
              <w:t>；</w:t>
            </w:r>
          </w:p>
          <w:p>
            <w:pPr>
              <w:pStyle w:val="1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auto"/>
          </w:tcPr>
          <w:p>
            <w:pPr>
              <w:shd w:val="clear"/>
            </w:pPr>
            <w:r>
              <w:rPr>
                <w:rFonts w:hint="eastAsia"/>
              </w:rPr>
              <w:t>运行的策划和控制</w:t>
            </w:r>
          </w:p>
        </w:tc>
        <w:tc>
          <w:tcPr>
            <w:tcW w:w="1040"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集体用餐配送（热食类食品制售）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pPr>
                  <w:r>
                    <w:rPr>
                      <w:rFonts w:hint="eastAsia"/>
                    </w:rPr>
                    <w:t>有流程图、管理制度</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餐食中心温度测试、餐食烧熟煮透、餐具洗消、金探、配送过程等；</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pPr>
                  <w:r>
                    <w:rPr>
                      <w:rFonts w:hint="eastAsia"/>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2"/>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第三方检测、虫鼠害控制和垃圾清运、油烟机清理</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6"/>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6"/>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餐食加工制作配送</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第三方检测、虫鼠害控制和垃圾清运、油烟机清理</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2"/>
              <w:shd w:val="clear"/>
              <w:rPr>
                <w:rFonts w:hint="eastAsia"/>
                <w:highlight w:val="none"/>
                <w:u w:val="single"/>
                <w:lang w:val="en-US" w:eastAsia="zh-CN"/>
              </w:rPr>
            </w:pPr>
            <w:r>
              <w:rPr>
                <w:rFonts w:hint="eastAsia"/>
                <w:highlight w:val="none"/>
                <w:u w:val="single"/>
                <w:lang w:val="en-US" w:eastAsia="zh-CN"/>
              </w:rPr>
              <w:t>见1.2.3审核记录</w:t>
            </w:r>
          </w:p>
          <w:p>
            <w:pPr>
              <w:pStyle w:val="1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原管理控制程序》、《预防和消除食品欺诈控制程序》等程序文件，基本满足标准中有关前提计划的要求，详见“H3.2至H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12"/>
              <w:rPr>
                <w:rFonts w:hint="eastAsia"/>
                <w:highlight w:val="none"/>
                <w:lang w:val="en-US" w:eastAsia="zh-CN"/>
              </w:rPr>
            </w:pPr>
            <w:r>
              <w:rPr>
                <w:rFonts w:hint="eastAsia"/>
                <w:highlight w:val="none"/>
                <w:lang w:val="en-US" w:eastAsia="zh-CN"/>
              </w:rPr>
              <w:t>E 8.2</w:t>
            </w:r>
          </w:p>
          <w:p>
            <w:pPr>
              <w:pStyle w:val="12"/>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并且由副总经理牵头组织进行演练，经过评审基本可以达到演练效果，</w:t>
            </w:r>
            <w:r>
              <w:rPr>
                <w:rFonts w:hint="eastAsia"/>
                <w:highlight w:val="none"/>
                <w:u w:val="single"/>
                <w:lang w:val="en-US" w:eastAsia="zh-CN"/>
              </w:rPr>
              <w:t>具体“见生产部审核记录”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监视、测量、分析和评价</w:t>
            </w:r>
          </w:p>
        </w:tc>
        <w:tc>
          <w:tcPr>
            <w:tcW w:w="1040"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7"/>
                    </w:numPr>
                    <w:rPr>
                      <w:rFonts w:hint="eastAsia"/>
                      <w:szCs w:val="21"/>
                      <w:lang w:val="en-US" w:eastAsia="zh-CN"/>
                    </w:rPr>
                  </w:pPr>
                  <w:r>
                    <w:rPr>
                      <w:rFonts w:hint="eastAsia"/>
                      <w:szCs w:val="21"/>
                      <w:lang w:val="en-US" w:eastAsia="zh-CN"/>
                    </w:rPr>
                    <w:t>水质：供方每半年提供</w:t>
                  </w:r>
                  <w:r>
                    <w:rPr>
                      <w:rFonts w:hint="eastAsia"/>
                      <w:szCs w:val="21"/>
                    </w:rPr>
                    <w:t>第三方</w:t>
                  </w:r>
                  <w:r>
                    <w:rPr>
                      <w:rFonts w:hint="eastAsia"/>
                      <w:szCs w:val="21"/>
                      <w:lang w:val="en-US" w:eastAsia="zh-CN"/>
                    </w:rPr>
                    <w:t>水质报告</w:t>
                  </w:r>
                </w:p>
                <w:p>
                  <w:pPr>
                    <w:numPr>
                      <w:ilvl w:val="0"/>
                      <w:numId w:val="7"/>
                    </w:numPr>
                    <w:rPr>
                      <w:rFonts w:hint="default" w:eastAsia="宋体"/>
                      <w:szCs w:val="21"/>
                      <w:lang w:val="en-US" w:eastAsia="zh-CN"/>
                    </w:rPr>
                  </w:pPr>
                  <w:r>
                    <w:rPr>
                      <w:rFonts w:hint="eastAsia"/>
                      <w:szCs w:val="21"/>
                      <w:lang w:val="en-US" w:eastAsia="zh-CN"/>
                    </w:rPr>
                    <w:t>餐食每年委托外部第三方进行检测</w:t>
                  </w:r>
                </w:p>
                <w:p>
                  <w:pPr>
                    <w:numPr>
                      <w:ilvl w:val="0"/>
                      <w:numId w:val="7"/>
                    </w:numPr>
                    <w:rPr>
                      <w:rFonts w:hint="default" w:eastAsia="宋体"/>
                      <w:szCs w:val="21"/>
                      <w:lang w:val="en-US" w:eastAsia="zh-CN"/>
                    </w:rPr>
                  </w:pPr>
                  <w:r>
                    <w:rPr>
                      <w:rFonts w:hint="eastAsia"/>
                      <w:szCs w:val="21"/>
                      <w:lang w:val="en-US" w:eastAsia="zh-CN"/>
                    </w:rPr>
                    <w:t>餐具索取产品的外检报告</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eastAsia="宋体"/>
                      <w:szCs w:val="21"/>
                      <w:lang w:val="en-US" w:eastAsia="zh-CN"/>
                    </w:rPr>
                  </w:pPr>
                  <w:r>
                    <w:rPr>
                      <w:rFonts w:hint="eastAsia"/>
                      <w:szCs w:val="21"/>
                      <w:lang w:val="en-US" w:eastAsia="zh-CN"/>
                    </w:rPr>
                    <w:t>GB 5749-2006</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1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PRP/GHP、危害控制计划、操作规程、SSOP等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12"/>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12"/>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1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auto"/>
          </w:tcPr>
          <w:p>
            <w:pPr>
              <w:rPr>
                <w:highlight w:val="none"/>
              </w:rPr>
            </w:pPr>
            <w:r>
              <w:rPr>
                <w:rFonts w:hint="eastAsia"/>
                <w:highlight w:val="none"/>
              </w:rPr>
              <w:t>管理评审</w:t>
            </w:r>
          </w:p>
          <w:p>
            <w:pPr>
              <w:rPr>
                <w:highlight w:val="none"/>
              </w:rPr>
            </w:pPr>
          </w:p>
        </w:tc>
        <w:tc>
          <w:tcPr>
            <w:tcW w:w="1040" w:type="dxa"/>
            <w:vMerge w:val="restart"/>
            <w:shd w:val="clear" w:color="auto" w:fill="auto"/>
          </w:tcPr>
          <w:p>
            <w:pPr>
              <w:rPr>
                <w:rFonts w:hint="eastAsia"/>
                <w:highlight w:val="none"/>
              </w:rPr>
            </w:pPr>
            <w:r>
              <w:rPr>
                <w:rFonts w:hint="eastAsia"/>
                <w:highlight w:val="none"/>
              </w:rPr>
              <w:t>Q9.3</w:t>
            </w:r>
          </w:p>
          <w:p>
            <w:pPr>
              <w:pStyle w:val="12"/>
              <w:rPr>
                <w:rFonts w:hint="eastAsia"/>
                <w:highlight w:val="none"/>
                <w:lang w:val="en-US" w:eastAsia="zh-CN"/>
              </w:rPr>
            </w:pPr>
            <w:r>
              <w:rPr>
                <w:rFonts w:hint="eastAsia"/>
                <w:highlight w:val="none"/>
                <w:lang w:val="en-US" w:eastAsia="zh-CN"/>
              </w:rPr>
              <w:t>E9.3</w:t>
            </w:r>
          </w:p>
          <w:p>
            <w:pPr>
              <w:pStyle w:val="1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28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2"/>
              <w:rPr>
                <w:highlight w:val="none"/>
              </w:rPr>
            </w:pPr>
          </w:p>
          <w:tbl>
            <w:tblPr>
              <w:tblStyle w:val="10"/>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rPr>
            </w:pPr>
            <w:r>
              <w:rPr>
                <w:rFonts w:hint="eastAsia"/>
              </w:rPr>
              <w:t>提交给最高管理者的信息的形式，应能使其理解所含信息与已声明的HACCP体系目标之间的关系。</w:t>
            </w:r>
          </w:p>
          <w:p>
            <w:pPr>
              <w:pStyle w:val="12"/>
              <w:rPr>
                <w:rFonts w:hint="eastAsia"/>
                <w:lang w:val="en-US" w:eastAsia="zh-CN"/>
              </w:rPr>
            </w:pPr>
            <w:r>
              <w:rPr>
                <w:rFonts w:hint="eastAsia"/>
                <w:lang w:val="en-US" w:eastAsia="zh-CN"/>
              </w:rPr>
              <w:t>经沟通了解，基本符合要求。</w:t>
            </w:r>
          </w:p>
          <w:p>
            <w:pPr>
              <w:pStyle w:val="1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2"/>
              <w:rPr>
                <w:rFonts w:hint="eastAsia"/>
                <w:highlight w:val="none"/>
                <w:lang w:val="en-US" w:eastAsia="zh-CN"/>
              </w:rPr>
            </w:pPr>
          </w:p>
          <w:p>
            <w:pPr>
              <w:pStyle w:val="12"/>
              <w:rPr>
                <w:rFonts w:hint="eastAsia"/>
                <w:highlight w:val="none"/>
                <w:lang w:val="en-US" w:eastAsia="zh-CN"/>
              </w:rPr>
            </w:pPr>
          </w:p>
          <w:p>
            <w:pPr>
              <w:pStyle w:val="12"/>
              <w:rPr>
                <w:rFonts w:hint="default" w:eastAsia="宋体"/>
                <w:highlight w:val="none"/>
                <w:lang w:val="en-US" w:eastAsia="zh-CN"/>
              </w:rPr>
            </w:pPr>
            <w:r>
              <w:rPr>
                <w:rFonts w:hint="eastAsia"/>
                <w:highlight w:val="none"/>
                <w:lang w:val="en-US" w:eastAsia="zh-CN"/>
              </w:rPr>
              <w:t>抽查管理评审输出情况：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8"/>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8"/>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8"/>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8"/>
                    </w:numPr>
                    <w:spacing w:before="40"/>
                    <w:jc w:val="left"/>
                    <w:rPr>
                      <w:rFonts w:hint="default" w:eastAsia="宋体"/>
                      <w:color w:val="000000"/>
                      <w:szCs w:val="21"/>
                      <w:highlight w:val="none"/>
                      <w:lang w:val="en-US" w:eastAsia="zh-CN"/>
                    </w:rPr>
                  </w:pPr>
                  <w:r>
                    <w:rPr>
                      <w:rFonts w:hint="default" w:eastAsia="宋体"/>
                      <w:color w:val="000000"/>
                      <w:szCs w:val="21"/>
                      <w:highlight w:val="none"/>
                      <w:lang w:val="en-US" w:eastAsia="zh-CN"/>
                    </w:rPr>
                    <w:t>对公司职能架构重新进行分配调整，以适应体系运行。</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9"/>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9"/>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9"/>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9"/>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对公司职能架构重新进行分配调整，以适应体系运行。</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10"/>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1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1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10"/>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对公司职能架构重新进行分配调整，以适应体系运行。</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11"/>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11"/>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11"/>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11"/>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default" w:eastAsia="宋体"/>
                      <w:color w:val="000000"/>
                      <w:szCs w:val="21"/>
                      <w:highlight w:val="none"/>
                      <w:lang w:val="en-US" w:eastAsia="zh-CN"/>
                    </w:rPr>
                    <w:t>对公司职能架构重新进行分配调整，以适应体系运行。</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bookmarkStart w:id="2" w:name="_GoBack"/>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r>
              <w:rPr>
                <w:rFonts w:hint="eastAsia"/>
                <w:highlight w:val="none"/>
                <w:u w:val="single"/>
              </w:rPr>
              <w:t xml:space="preserve">  </w:t>
            </w:r>
            <w:bookmarkEnd w:id="2"/>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改进</w:t>
            </w:r>
          </w:p>
        </w:tc>
        <w:tc>
          <w:tcPr>
            <w:tcW w:w="104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default" w:eastAsia="宋体"/>
                <w:lang w:val="en-US" w:eastAsia="zh-CN"/>
              </w:rPr>
            </w:pPr>
            <w:r>
              <w:rPr>
                <w:rFonts w:hint="eastAsia"/>
                <w:lang w:val="en-US" w:eastAsia="zh-CN"/>
              </w:rPr>
              <w:t>改进</w:t>
            </w:r>
          </w:p>
        </w:tc>
        <w:tc>
          <w:tcPr>
            <w:tcW w:w="1040"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持续改进</w:t>
            </w:r>
          </w:p>
        </w:tc>
        <w:tc>
          <w:tcPr>
            <w:tcW w:w="1040"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2"/>
              <w:rPr>
                <w:rFonts w:hint="eastAsia"/>
                <w:sz w:val="21"/>
                <w:szCs w:val="21"/>
                <w:lang w:val="en-US" w:eastAsia="zh-CN"/>
              </w:rPr>
            </w:pPr>
            <w:r>
              <w:rPr>
                <w:rFonts w:hint="eastAsia"/>
                <w:sz w:val="21"/>
                <w:szCs w:val="21"/>
                <w:lang w:val="en-US" w:eastAsia="zh-CN"/>
              </w:rPr>
              <w:t>E10.3</w:t>
            </w:r>
          </w:p>
          <w:p>
            <w:pPr>
              <w:pStyle w:val="2"/>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计划2022年12月底前完成</w:t>
            </w:r>
            <w:r>
              <w:rPr>
                <w:rFonts w:hint="eastAsia"/>
                <w:u w:val="single"/>
              </w:rPr>
              <w:t xml:space="preserve">           </w:t>
            </w:r>
          </w:p>
          <w:p>
            <w:pPr>
              <w:pStyle w:val="2"/>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0"/>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计划2022年12月底前完成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食品安全管理体系的更新</w:t>
            </w:r>
          </w:p>
          <w:p/>
        </w:tc>
        <w:tc>
          <w:tcPr>
            <w:tcW w:w="104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8"/>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3D30A"/>
    <w:multiLevelType w:val="singleLevel"/>
    <w:tmpl w:val="9633D30A"/>
    <w:lvl w:ilvl="0" w:tentative="0">
      <w:start w:val="1"/>
      <w:numFmt w:val="decimal"/>
      <w:suff w:val="space"/>
      <w:lvlText w:val="%1."/>
      <w:lvlJc w:val="left"/>
    </w:lvl>
  </w:abstractNum>
  <w:abstractNum w:abstractNumId="1">
    <w:nsid w:val="9B2FD7ED"/>
    <w:multiLevelType w:val="singleLevel"/>
    <w:tmpl w:val="9B2FD7ED"/>
    <w:lvl w:ilvl="0" w:tentative="0">
      <w:start w:val="1"/>
      <w:numFmt w:val="decimal"/>
      <w:suff w:val="space"/>
      <w:lvlText w:val="%1."/>
      <w:lvlJc w:val="left"/>
    </w:lvl>
  </w:abstractNum>
  <w:abstractNum w:abstractNumId="2">
    <w:nsid w:val="A8C87635"/>
    <w:multiLevelType w:val="singleLevel"/>
    <w:tmpl w:val="A8C87635"/>
    <w:lvl w:ilvl="0" w:tentative="0">
      <w:start w:val="1"/>
      <w:numFmt w:val="decimal"/>
      <w:suff w:val="space"/>
      <w:lvlText w:val="%1."/>
      <w:lvlJc w:val="left"/>
    </w:lvl>
  </w:abstractNum>
  <w:abstractNum w:abstractNumId="3">
    <w:nsid w:val="C22A6EF6"/>
    <w:multiLevelType w:val="singleLevel"/>
    <w:tmpl w:val="C22A6EF6"/>
    <w:lvl w:ilvl="0" w:tentative="0">
      <w:start w:val="1"/>
      <w:numFmt w:val="decimal"/>
      <w:suff w:val="space"/>
      <w:lvlText w:val="%1."/>
      <w:lvlJc w:val="left"/>
    </w:lvl>
  </w:abstractNum>
  <w:abstractNum w:abstractNumId="4">
    <w:nsid w:val="D7A383CD"/>
    <w:multiLevelType w:val="singleLevel"/>
    <w:tmpl w:val="D7A383CD"/>
    <w:lvl w:ilvl="0" w:tentative="0">
      <w:start w:val="1"/>
      <w:numFmt w:val="decimal"/>
      <w:suff w:val="space"/>
      <w:lvlText w:val="%1."/>
      <w:lvlJc w:val="left"/>
    </w:lvl>
  </w:abstractNum>
  <w:abstractNum w:abstractNumId="5">
    <w:nsid w:val="D9157FF7"/>
    <w:multiLevelType w:val="singleLevel"/>
    <w:tmpl w:val="D9157FF7"/>
    <w:lvl w:ilvl="0" w:tentative="0">
      <w:start w:val="1"/>
      <w:numFmt w:val="lowerLetter"/>
      <w:suff w:val="space"/>
      <w:lvlText w:val="%1)"/>
      <w:lvlJc w:val="left"/>
    </w:lvl>
  </w:abstractNum>
  <w:abstractNum w:abstractNumId="6">
    <w:nsid w:val="19E194F9"/>
    <w:multiLevelType w:val="singleLevel"/>
    <w:tmpl w:val="19E194F9"/>
    <w:lvl w:ilvl="0" w:tentative="0">
      <w:start w:val="1"/>
      <w:numFmt w:val="lowerLetter"/>
      <w:lvlText w:val="%1)"/>
      <w:lvlJc w:val="left"/>
      <w:pPr>
        <w:tabs>
          <w:tab w:val="left" w:pos="312"/>
        </w:tabs>
      </w:pPr>
    </w:lvl>
  </w:abstractNum>
  <w:abstractNum w:abstractNumId="7">
    <w:nsid w:val="4C00CF79"/>
    <w:multiLevelType w:val="singleLevel"/>
    <w:tmpl w:val="4C00CF79"/>
    <w:lvl w:ilvl="0" w:tentative="0">
      <w:start w:val="1"/>
      <w:numFmt w:val="decimal"/>
      <w:suff w:val="space"/>
      <w:lvlText w:val="%1."/>
      <w:lvlJc w:val="left"/>
    </w:lvl>
  </w:abstractNum>
  <w:abstractNum w:abstractNumId="8">
    <w:nsid w:val="4D003148"/>
    <w:multiLevelType w:val="singleLevel"/>
    <w:tmpl w:val="4D003148"/>
    <w:lvl w:ilvl="0" w:tentative="0">
      <w:start w:val="1"/>
      <w:numFmt w:val="decimal"/>
      <w:lvlText w:val="%1."/>
      <w:lvlJc w:val="left"/>
      <w:pPr>
        <w:tabs>
          <w:tab w:val="left" w:pos="312"/>
        </w:tabs>
      </w:pPr>
    </w:lvl>
  </w:abstractNum>
  <w:abstractNum w:abstractNumId="9">
    <w:nsid w:val="56645777"/>
    <w:multiLevelType w:val="singleLevel"/>
    <w:tmpl w:val="56645777"/>
    <w:lvl w:ilvl="0" w:tentative="0">
      <w:start w:val="1"/>
      <w:numFmt w:val="lowerLetter"/>
      <w:suff w:val="space"/>
      <w:lvlText w:val="%1）"/>
      <w:lvlJc w:val="left"/>
    </w:lvl>
  </w:abstractNum>
  <w:abstractNum w:abstractNumId="1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3"/>
  </w:num>
  <w:num w:numId="4">
    <w:abstractNumId w:val="6"/>
  </w:num>
  <w:num w:numId="5">
    <w:abstractNumId w:val="5"/>
  </w:num>
  <w:num w:numId="6">
    <w:abstractNumId w:val="9"/>
  </w:num>
  <w:num w:numId="7">
    <w:abstractNumId w:val="8"/>
  </w:num>
  <w:num w:numId="8">
    <w:abstractNumId w:val="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D43B87"/>
    <w:rsid w:val="09FA6045"/>
    <w:rsid w:val="0A0F142E"/>
    <w:rsid w:val="0A1C56C1"/>
    <w:rsid w:val="0A904067"/>
    <w:rsid w:val="0ACA6ED2"/>
    <w:rsid w:val="0AEF4D8D"/>
    <w:rsid w:val="0B8C3FEE"/>
    <w:rsid w:val="0BE64DF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17422</Words>
  <Characters>18990</Characters>
  <Lines>79</Lines>
  <Paragraphs>22</Paragraphs>
  <TotalTime>5</TotalTime>
  <ScaleCrop>false</ScaleCrop>
  <LinksUpToDate>false</LinksUpToDate>
  <CharactersWithSpaces>20411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2022-03-27T05:46:42Z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11C484B161C942D78A603EAF5EE88846</vt:lpwstr>
  </property>
</Properties>
</file>