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财务部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李清霞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周颖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default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肖新龙（远程）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审核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日期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2022-03-25下午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EMS: 7.1/8.2/10.2</w:t>
            </w:r>
          </w:p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OHS: 7.1/8.2/10.2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资源提供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eastAsia"/>
              </w:rPr>
              <w:t>7.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手册第7.1章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6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查看</w:t>
            </w:r>
            <w:r>
              <w:rPr>
                <w:rFonts w:hint="eastAsia"/>
                <w:lang w:val="en-US" w:eastAsia="zh-CN"/>
              </w:rPr>
              <w:t>对环境有关的费用包括：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能源和资源消耗：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能源消耗费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资源消耗费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废弃物排放：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危废处理费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环境监测费用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废弃物处理（厨余垃圾）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其他：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特种设备检测费用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人员资质培训和考试费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消防检测费用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消防维保费用 </w:t>
            </w:r>
          </w:p>
          <w:p>
            <w:pPr>
              <w:ind w:firstLine="840" w:firstLineChars="4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监视和测量设备检定费用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环境影响评价费用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环保设备运行费用 </w:t>
            </w:r>
          </w:p>
          <w:p>
            <w:pPr>
              <w:ind w:firstLine="840" w:firstLineChars="4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消防设施运行费用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应急费用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罚款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其他——油烟机清洁</w:t>
            </w:r>
          </w:p>
          <w:p>
            <w:pPr>
              <w:ind w:firstLine="840" w:firstLineChars="400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本年度上述内容的预算大约人民币</w:t>
            </w:r>
            <w:r>
              <w:rPr>
                <w:rFonts w:hint="eastAsia" w:ascii="Calibri" w:hAnsi="Calibri"/>
                <w:highlight w:val="none"/>
                <w:u w:val="single"/>
                <w:lang w:val="en-US" w:eastAsia="zh-CN"/>
              </w:rPr>
              <w:t xml:space="preserve">  428860 元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本年度至今的支出大约人民币</w:t>
            </w:r>
            <w:r>
              <w:rPr>
                <w:rFonts w:hint="eastAsia" w:ascii="Calibri" w:hAnsi="Calibri"/>
                <w:highlight w:val="none"/>
                <w:u w:val="single"/>
                <w:lang w:val="en-US" w:eastAsia="zh-CN"/>
              </w:rPr>
              <w:t xml:space="preserve">    _  元</w:t>
            </w:r>
          </w:p>
          <w:p/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资源能耗情况统计：（首次导入体系，不涉及）</w:t>
            </w:r>
          </w:p>
          <w:p>
            <w:pPr>
              <w:rPr>
                <w:rFonts w:hint="eastAsia" w:ascii="Calibri" w:hAnsi="Calibri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上一年度单位产品/产值能耗人民币</w:t>
            </w:r>
            <w:r>
              <w:rPr>
                <w:rFonts w:hint="eastAsia" w:ascii="Calibri" w:hAnsi="Calibri"/>
                <w:highlight w:val="none"/>
                <w:u w:val="single"/>
                <w:lang w:val="en-US" w:eastAsia="zh-CN"/>
              </w:rPr>
              <w:t xml:space="preserve">  ——   ；</w:t>
            </w:r>
          </w:p>
          <w:p>
            <w:pPr>
              <w:rPr>
                <w:rFonts w:hint="eastAsia" w:ascii="Calibri" w:hAnsi="Calibri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本年度单位产品/产值能耗人民币</w:t>
            </w:r>
            <w:r>
              <w:rPr>
                <w:rFonts w:hint="eastAsia" w:ascii="Calibri" w:hAnsi="Calibri"/>
                <w:highlight w:val="none"/>
                <w:u w:val="single"/>
                <w:lang w:val="en-US" w:eastAsia="zh-CN"/>
              </w:rPr>
              <w:t xml:space="preserve">     ——    ；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  <w:t>能耗有所好转的原因：节能管理、采用设备更新和错峰用电等措施</w:t>
            </w:r>
          </w:p>
        </w:tc>
        <w:tc>
          <w:tcPr>
            <w:tcW w:w="1585" w:type="dxa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应急准备和响应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eastAsia"/>
              </w:rPr>
              <w:t>8.2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《应急准备和响应控制程序》、《应急预案》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本部门是否发生环境方面的应急的情况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未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发生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已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发生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，说明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                   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本部门是否发生环境方面的应急演练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default"/>
                <w:u w:val="singl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参加公司组织的应急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eastAsia" w:cs="Times New Roman"/>
                <w:color w:val="auto"/>
                <w:kern w:val="2"/>
                <w:sz w:val="21"/>
                <w:u w:val="single"/>
                <w:lang w:val="en-US" w:eastAsia="zh-CN" w:bidi="ar-SA"/>
              </w:rPr>
              <w:t>见“生产部审核记录”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本部门组织的专项应急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，说明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                     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资源提供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O</w:t>
            </w:r>
            <w:r>
              <w:rPr>
                <w:rFonts w:hint="eastAsia"/>
                <w:color w:val="auto"/>
              </w:rPr>
              <w:t>7.</w:t>
            </w: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如：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手册第7.1章</w:t>
            </w:r>
          </w:p>
        </w:tc>
        <w:tc>
          <w:tcPr>
            <w:tcW w:w="1585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查看</w:t>
            </w:r>
            <w:r>
              <w:rPr>
                <w:rFonts w:hint="eastAsia"/>
                <w:color w:val="auto"/>
                <w:lang w:val="en-US" w:eastAsia="zh-CN"/>
              </w:rPr>
              <w:t xml:space="preserve">对职业健康安全有关的费用包括： 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三同时：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安全评价费用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职业病危害评价费用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不涉及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其他：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职业病体检费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安全监测费用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特种设备检测费用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人员资质培训和考试费 </w:t>
            </w:r>
          </w:p>
          <w:p>
            <w:pPr>
              <w:ind w:firstLine="840" w:firstLineChars="4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消防检测费用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消防维保费用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监视和测量设备检定费用  </w:t>
            </w:r>
          </w:p>
          <w:p>
            <w:pPr>
              <w:ind w:firstLine="840" w:firstLineChars="40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消防设施运行费用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应急费用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工伤赔偿费用</w:t>
            </w: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 xml:space="preserve">其他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>其他</w:t>
            </w:r>
          </w:p>
          <w:p>
            <w:pPr>
              <w:ind w:firstLine="840" w:firstLineChars="400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rPr>
                <w:rFonts w:hint="default"/>
                <w:color w:val="auto"/>
                <w:highlight w:val="none"/>
                <w:lang w:val="en-US" w:eastAsia="zh-CN"/>
              </w:rPr>
            </w:pPr>
            <w:bookmarkStart w:id="0" w:name="_GoBack"/>
            <w:r>
              <w:rPr>
                <w:rFonts w:hint="eastAsia"/>
                <w:color w:val="auto"/>
                <w:highlight w:val="none"/>
                <w:lang w:val="en-US" w:eastAsia="zh-CN"/>
              </w:rPr>
              <w:t>本年度上述内容的预算大约人民币</w:t>
            </w:r>
            <w:r>
              <w:rPr>
                <w:rFonts w:hint="eastAsia" w:ascii="Calibri" w:hAnsi="Calibri"/>
                <w:color w:val="auto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Calibri" w:hAnsi="Calibri"/>
                <w:highlight w:val="none"/>
                <w:u w:val="single"/>
                <w:lang w:val="en-US" w:eastAsia="zh-CN"/>
              </w:rPr>
              <w:t>428860</w:t>
            </w:r>
            <w:r>
              <w:rPr>
                <w:rFonts w:hint="eastAsia" w:ascii="Calibri" w:hAnsi="Calibri"/>
                <w:color w:val="auto"/>
                <w:highlight w:val="none"/>
                <w:u w:val="single"/>
                <w:lang w:val="en-US" w:eastAsia="zh-CN"/>
              </w:rPr>
              <w:t xml:space="preserve"> 元</w:t>
            </w:r>
          </w:p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本年度至今的支出大约人民币</w:t>
            </w:r>
            <w:r>
              <w:rPr>
                <w:rFonts w:hint="eastAsia" w:ascii="Calibri" w:hAnsi="Calibri"/>
                <w:color w:val="auto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Calibri" w:hAnsi="Calibri"/>
                <w:highlight w:val="none"/>
                <w:u w:val="single"/>
                <w:lang w:val="en-US" w:eastAsia="zh-CN"/>
              </w:rPr>
              <w:t xml:space="preserve">_  </w:t>
            </w:r>
            <w:r>
              <w:rPr>
                <w:rFonts w:hint="eastAsia" w:ascii="Calibri" w:hAnsi="Calibri"/>
                <w:color w:val="auto"/>
                <w:highlight w:val="none"/>
                <w:u w:val="single"/>
                <w:lang w:val="en-US" w:eastAsia="zh-CN"/>
              </w:rPr>
              <w:t>元</w:t>
            </w:r>
            <w:bookmarkEnd w:id="0"/>
          </w:p>
        </w:tc>
        <w:tc>
          <w:tcPr>
            <w:tcW w:w="1585" w:type="dxa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color w:val="auto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应急准备和响应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O</w:t>
            </w:r>
            <w:r>
              <w:rPr>
                <w:rFonts w:hint="eastAsia"/>
                <w:color w:val="auto"/>
              </w:rPr>
              <w:t>8.2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《应急准备和响应控制程序》、《应急预案》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color w:val="auto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本部门是否发生职业健康安全方面的应急的情况</w:t>
            </w:r>
            <w:r>
              <w:rPr>
                <w:rFonts w:hint="eastAsia"/>
                <w:color w:val="auto"/>
              </w:rPr>
              <w:t>：</w:t>
            </w:r>
          </w:p>
          <w:p>
            <w:pPr>
              <w:rPr>
                <w:rFonts w:hint="eastAsia" w:cs="Times New Roman"/>
                <w:color w:val="auto"/>
                <w:kern w:val="2"/>
                <w:sz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未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lang w:val="en-US" w:eastAsia="zh-CN" w:bidi="ar-SA"/>
              </w:rPr>
              <w:t>发生</w:t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已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lang w:val="en-US" w:eastAsia="zh-CN" w:bidi="ar-SA"/>
              </w:rPr>
              <w:t>发生</w:t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，说明</w:t>
            </w:r>
            <w:r>
              <w:rPr>
                <w:rFonts w:hint="eastAsia" w:cs="Times New Roman"/>
                <w:color w:val="auto"/>
                <w:kern w:val="2"/>
                <w:sz w:val="21"/>
                <w:u w:val="single"/>
                <w:lang w:val="en-US" w:eastAsia="zh-CN" w:bidi="ar-SA"/>
              </w:rPr>
              <w:t xml:space="preserve">                      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本部门是否发生职业健康安全方面的应急演练</w:t>
            </w:r>
            <w:r>
              <w:rPr>
                <w:rFonts w:hint="eastAsia"/>
                <w:color w:val="auto"/>
              </w:rPr>
              <w:t>：</w:t>
            </w:r>
          </w:p>
          <w:p>
            <w:pPr>
              <w:rPr>
                <w:rFonts w:hint="default"/>
                <w:color w:val="auto"/>
                <w:u w:val="singl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参加公司组织的应急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 xml:space="preserve">  </w:t>
            </w:r>
            <w:r>
              <w:rPr>
                <w:rFonts w:hint="eastAsia" w:cs="Times New Roman"/>
                <w:color w:val="auto"/>
                <w:kern w:val="2"/>
                <w:sz w:val="21"/>
                <w:u w:val="single"/>
                <w:lang w:val="en-US" w:eastAsia="zh-CN" w:bidi="ar-SA"/>
              </w:rPr>
              <w:t>见“生产部审核记录”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本部门组织的专项应急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 xml:space="preserve"> ，说明</w:t>
            </w:r>
            <w:r>
              <w:rPr>
                <w:rFonts w:hint="eastAsia" w:cs="Times New Roman"/>
                <w:color w:val="auto"/>
                <w:kern w:val="2"/>
                <w:sz w:val="21"/>
                <w:u w:val="single"/>
                <w:lang w:val="en-US" w:eastAsia="zh-CN" w:bidi="ar-SA"/>
              </w:rPr>
              <w:t xml:space="preserve">                      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</w:p>
              </w:tc>
            </w:tr>
          </w:tbl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</w:rPr>
            </w:pPr>
          </w:p>
        </w:tc>
      </w:tr>
    </w:tbl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rPr>
        <w:rFonts w:ascii="宋体" w:hAnsi="Courier New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24765</wp:posOffset>
          </wp:positionH>
          <wp:positionV relativeFrom="paragraph">
            <wp:posOffset>26670</wp:posOffset>
          </wp:positionV>
          <wp:extent cx="395605" cy="398780"/>
          <wp:effectExtent l="0" t="0" r="10795" b="762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5605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 xml:space="preserve">12 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hBqrl1gAAAAoBAAAPAAAAAAAAAAEAIAAAACIAAABk&#10;cnMvZG93bnJldi54bWxQSwECFAAUAAAACACHTuJAEf2evc8BAACOAwAADgAAAAAAAAABACAAAAAl&#10;AQAAZHJzL2Uyb0RvYy54bWxQSwUGAAAAAAYABgBZAQAAZ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 xml:space="preserve">12 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4177C7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48246F"/>
    <w:rsid w:val="01805CB1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700448C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12FBB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5423F7"/>
    <w:rsid w:val="0C8009B8"/>
    <w:rsid w:val="0C842FD4"/>
    <w:rsid w:val="0CC102DA"/>
    <w:rsid w:val="0CC85F41"/>
    <w:rsid w:val="0CD5463E"/>
    <w:rsid w:val="0CEB516B"/>
    <w:rsid w:val="0D036D8B"/>
    <w:rsid w:val="0D181113"/>
    <w:rsid w:val="0D1E4D9B"/>
    <w:rsid w:val="0D4D1326"/>
    <w:rsid w:val="0D6A2C36"/>
    <w:rsid w:val="0D7B34FF"/>
    <w:rsid w:val="0DB35CC0"/>
    <w:rsid w:val="0DD9585D"/>
    <w:rsid w:val="0E0C7431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C392A3A"/>
    <w:rsid w:val="1C683E38"/>
    <w:rsid w:val="1CB1322F"/>
    <w:rsid w:val="1CC145DF"/>
    <w:rsid w:val="1CEB1474"/>
    <w:rsid w:val="1CF3399B"/>
    <w:rsid w:val="1CFD2AFE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189792A"/>
    <w:rsid w:val="21A07B88"/>
    <w:rsid w:val="21A34258"/>
    <w:rsid w:val="21D24208"/>
    <w:rsid w:val="226B2F60"/>
    <w:rsid w:val="22813299"/>
    <w:rsid w:val="229F2D1A"/>
    <w:rsid w:val="23363714"/>
    <w:rsid w:val="23461CA8"/>
    <w:rsid w:val="238A1BAA"/>
    <w:rsid w:val="23900E62"/>
    <w:rsid w:val="23A626E7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BF1E07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D60481"/>
    <w:rsid w:val="2BEA3FA7"/>
    <w:rsid w:val="2C2E44D4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28427D"/>
    <w:rsid w:val="31B477DB"/>
    <w:rsid w:val="31B67BE2"/>
    <w:rsid w:val="31CA71DD"/>
    <w:rsid w:val="32341738"/>
    <w:rsid w:val="323A7B9B"/>
    <w:rsid w:val="324E5138"/>
    <w:rsid w:val="325E1B93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194B0A"/>
    <w:rsid w:val="343C4522"/>
    <w:rsid w:val="347A0336"/>
    <w:rsid w:val="348376B7"/>
    <w:rsid w:val="34F92D63"/>
    <w:rsid w:val="35527F1F"/>
    <w:rsid w:val="357914C0"/>
    <w:rsid w:val="35994264"/>
    <w:rsid w:val="35D721CD"/>
    <w:rsid w:val="36174333"/>
    <w:rsid w:val="3623081B"/>
    <w:rsid w:val="362B5212"/>
    <w:rsid w:val="364A3F09"/>
    <w:rsid w:val="36627753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53C49"/>
    <w:rsid w:val="40571F31"/>
    <w:rsid w:val="40760623"/>
    <w:rsid w:val="408B7234"/>
    <w:rsid w:val="40DB2153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2A5E11"/>
    <w:rsid w:val="433B1167"/>
    <w:rsid w:val="4352128B"/>
    <w:rsid w:val="435F500F"/>
    <w:rsid w:val="43C730CD"/>
    <w:rsid w:val="44350F69"/>
    <w:rsid w:val="44A567F5"/>
    <w:rsid w:val="453B1EBC"/>
    <w:rsid w:val="45635AEC"/>
    <w:rsid w:val="45BA54FA"/>
    <w:rsid w:val="45C810D7"/>
    <w:rsid w:val="45DA53D1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06A80"/>
    <w:rsid w:val="471F1498"/>
    <w:rsid w:val="47271944"/>
    <w:rsid w:val="473E10CC"/>
    <w:rsid w:val="475C4BFE"/>
    <w:rsid w:val="475D7730"/>
    <w:rsid w:val="47BB044C"/>
    <w:rsid w:val="48262DE5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D2140D9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DB2F56"/>
    <w:rsid w:val="53F51637"/>
    <w:rsid w:val="54124FEF"/>
    <w:rsid w:val="541C4B67"/>
    <w:rsid w:val="550429BE"/>
    <w:rsid w:val="552A2893"/>
    <w:rsid w:val="55436287"/>
    <w:rsid w:val="556B045B"/>
    <w:rsid w:val="557D4E77"/>
    <w:rsid w:val="55C375DD"/>
    <w:rsid w:val="56156439"/>
    <w:rsid w:val="56643532"/>
    <w:rsid w:val="568B5A7B"/>
    <w:rsid w:val="56C41BCC"/>
    <w:rsid w:val="56D05236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584813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AC2808"/>
    <w:rsid w:val="5AD64AF2"/>
    <w:rsid w:val="5AE23464"/>
    <w:rsid w:val="5AF377C8"/>
    <w:rsid w:val="5B0449BC"/>
    <w:rsid w:val="5B513157"/>
    <w:rsid w:val="5B517209"/>
    <w:rsid w:val="5B544EB3"/>
    <w:rsid w:val="5B6A33DD"/>
    <w:rsid w:val="5B7C5AEB"/>
    <w:rsid w:val="5BF04FFA"/>
    <w:rsid w:val="5C241AEE"/>
    <w:rsid w:val="5C4D2649"/>
    <w:rsid w:val="5C8D6CFF"/>
    <w:rsid w:val="5C966EB6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106CE7"/>
    <w:rsid w:val="64621F9C"/>
    <w:rsid w:val="6495069F"/>
    <w:rsid w:val="64A537DD"/>
    <w:rsid w:val="64B51DAE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763171"/>
    <w:rsid w:val="66B368AE"/>
    <w:rsid w:val="66B532F3"/>
    <w:rsid w:val="66C2760F"/>
    <w:rsid w:val="66C71719"/>
    <w:rsid w:val="66CB2597"/>
    <w:rsid w:val="66FA7FFA"/>
    <w:rsid w:val="675A3B6C"/>
    <w:rsid w:val="678B4DA6"/>
    <w:rsid w:val="67AF7DB6"/>
    <w:rsid w:val="680564C6"/>
    <w:rsid w:val="681B3F7A"/>
    <w:rsid w:val="68233428"/>
    <w:rsid w:val="68494570"/>
    <w:rsid w:val="684A42BC"/>
    <w:rsid w:val="68B54AF7"/>
    <w:rsid w:val="68BB527D"/>
    <w:rsid w:val="68C96D98"/>
    <w:rsid w:val="68CA009F"/>
    <w:rsid w:val="68D402C9"/>
    <w:rsid w:val="68D670D7"/>
    <w:rsid w:val="68E43EF4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BB265B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C80EF6"/>
    <w:rsid w:val="74103E55"/>
    <w:rsid w:val="74456E15"/>
    <w:rsid w:val="745B622A"/>
    <w:rsid w:val="753E2D2E"/>
    <w:rsid w:val="753F2F7D"/>
    <w:rsid w:val="75DB13A5"/>
    <w:rsid w:val="75E10521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9E15C23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text|1"/>
    <w:basedOn w:val="1"/>
    <w:qFormat/>
    <w:uiPriority w:val="0"/>
    <w:pPr>
      <w:widowControl w:val="0"/>
      <w:shd w:val="clear" w:color="auto" w:fill="auto"/>
      <w:spacing w:after="8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0</TotalTime>
  <ScaleCrop>false</ScaleCrop>
  <LinksUpToDate>false</LinksUpToDate>
  <CharactersWithSpaces>147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肖新龙</cp:lastModifiedBy>
  <dcterms:modified xsi:type="dcterms:W3CDTF">2022-03-27T05:53:16Z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56C8F3366E534183966D8ED7DB3595F6</vt:lpwstr>
  </property>
</Properties>
</file>