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sz w:val="21"/>
                <w:szCs w:val="21"/>
              </w:rPr>
              <w:t>保定市仁和电力安装工程有限公司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28.04.02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28.04.02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杨园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施工准备-材料设备进场-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施工过程控制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-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分部分项工程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验收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隐蔽工程验收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-竣工预验收-竣工验收-工程交付-保修服务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固废排放、火灾事故的发生、噪声排放，废弃物排放及噪声控制程序、消防控制程序、应急准备和响应控制程序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消防法、环境保护法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DL5009.3-2016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 《电力建设安全工作规程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变电所部分》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电力工程电气装置安装通用规范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DL/T1036-2006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《变电设备巡检系统》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DL/T1081-2008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《12kV～40.5kV户外高压开关运行规程》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DL/T1102-2009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《 配电变压器运行规程》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DL/T1209.4-2014 《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变电站登高作业及防护器材技术要求 第4部分:复合材料快装脚手架》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 xml:space="preserve">   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DL/T1404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-2015 《变电站监控系统防止电气误操作技术规范》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DL/T1297-2013《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电能质量监测系统技术规范》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DL/T1349-2014《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断路器保护装置通用技术条件》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240030</wp:posOffset>
                  </wp:positionH>
                  <wp:positionV relativeFrom="paragraph">
                    <wp:posOffset>194945</wp:posOffset>
                  </wp:positionV>
                  <wp:extent cx="990600" cy="336550"/>
                  <wp:effectExtent l="0" t="0" r="0" b="6350"/>
                  <wp:wrapNone/>
                  <wp:docPr id="1" name="图片 1" descr="07a537ef3e9b03ded448203c1f1c5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07a537ef3e9b03ded448203c1f1c5ec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bookmarkStart w:id="1" w:name="_GoBack"/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78105</wp:posOffset>
                  </wp:positionV>
                  <wp:extent cx="968375" cy="466090"/>
                  <wp:effectExtent l="0" t="0" r="0" b="0"/>
                  <wp:wrapNone/>
                  <wp:docPr id="5" name="图片 5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375" cy="46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1"/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2022.4.20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OHSMS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保定市仁和电力安装工程有限公司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28.04.02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28.04.02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杨园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施工准备-材料设备进场-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施工过程控制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-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分部分项工程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验收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隐蔽工程验收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-竣工预验收-竣工验收-工程交付-保修服务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火灾事故的发生、触电、噪声伤害、意外伤害、物体打击、高空坠落机械/车辆伤害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，劳动防护用品控制程序、消防控制程序、应急准备和响应控制程序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消防法、传染病防治法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DL5009.3-2016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 《电力建设安全工作规程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变电所部分》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电力工程电气装置安装通用规范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DL/T1036-2006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《变电设备巡检系统》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DL/T1081-2008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《12kV～40.5kV户外高压开关运行规程》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DL/T1102-2009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《 配电变压器运行规程》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DL/T1209.4-2014 《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变电站登高作业及防护器材技术要求 第4部分:复合材料快装脚手架》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 xml:space="preserve">   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DL/T1404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-2015 《变电站监控系统防止电气误操作技术规范》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DL/T1297-2013《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电能质量监测系统技术规范》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DL/T1349-2014《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断路器保护装置通用技术条件》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160655</wp:posOffset>
                  </wp:positionV>
                  <wp:extent cx="990600" cy="336550"/>
                  <wp:effectExtent l="0" t="0" r="0" b="6350"/>
                  <wp:wrapNone/>
                  <wp:docPr id="3" name="图片 3" descr="07a537ef3e9b03ded448203c1f1c5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7a537ef3e9b03ded448203c1f1c5ec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66675</wp:posOffset>
                  </wp:positionV>
                  <wp:extent cx="1078230" cy="518795"/>
                  <wp:effectExtent l="0" t="0" r="0" b="0"/>
                  <wp:wrapNone/>
                  <wp:docPr id="4" name="图片 4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230" cy="518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2022.4.20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rFonts w:hint="eastAsia"/>
          <w:b/>
          <w:sz w:val="22"/>
          <w:szCs w:val="22"/>
        </w:rPr>
        <w:t>EnMS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能源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4"/>
                <w:szCs w:val="14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能源评审报告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rFonts w:hint="eastAsia"/>
          <w:b/>
          <w:sz w:val="22"/>
          <w:szCs w:val="22"/>
        </w:rPr>
        <w:t xml:space="preserve">FSMS </w:t>
      </w: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rFonts w:hint="eastAsia"/>
          <w:b/>
          <w:sz w:val="22"/>
          <w:szCs w:val="22"/>
        </w:rPr>
        <w:t>HACCP</w:t>
      </w:r>
    </w:p>
    <w:p>
      <w:pPr>
        <w:rPr>
          <w:b/>
          <w:sz w:val="22"/>
          <w:szCs w:val="22"/>
        </w:rPr>
      </w:pP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食品安全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2"/>
        <w:rFonts w:hint="default"/>
      </w:rPr>
    </w:pPr>
    <w:r>
      <w:rPr>
        <w:rStyle w:val="12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458543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3">
    <w:name w:val="heading 1"/>
    <w:basedOn w:val="1"/>
    <w:next w:val="1"/>
    <w:qFormat/>
    <w:locked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2022-04-25T02:13:17Z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eyJoZGlkIjoiM2Y3MmNiNTA4Y2RiYTNkMzhmODU1Yjg5OTYxMzY5NzMifQ==</vt:lpwstr>
  </property>
</Properties>
</file>