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0231-2022-QEOFH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北京同得发餐饮管理有限公司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2022年03月22日 上午</w:t>
            </w:r>
            <w:r>
              <w:rPr>
                <w:rFonts w:hint="eastAsia" w:ascii="宋体"/>
                <w:b/>
                <w:color w:val="000000"/>
                <w:szCs w:val="21"/>
                <w:lang w:val="en-US" w:eastAsia="zh-CN"/>
              </w:rPr>
              <w:t>9:00</w:t>
            </w:r>
            <w:r>
              <w:rPr>
                <w:rFonts w:hint="eastAsia" w:ascii="宋体"/>
                <w:b/>
                <w:color w:val="000000"/>
                <w:szCs w:val="21"/>
              </w:rPr>
              <w:t>至2022年03月23日 下午</w:t>
            </w:r>
            <w:bookmarkEnd w:id="8"/>
            <w:r>
              <w:rPr>
                <w:rFonts w:hint="eastAsia" w:ascii="宋体"/>
                <w:b/>
                <w:color w:val="000000"/>
                <w:szCs w:val="21"/>
                <w:lang w:val="en-US" w:eastAsia="zh-CN"/>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4"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5"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ISO 22000</w:t>
            </w:r>
            <w:r>
              <w:rPr>
                <w:rFonts w:hint="eastAsia" w:ascii="宋体" w:hAnsi="宋体"/>
                <w:b/>
                <w:color w:val="000000"/>
                <w:szCs w:val="21"/>
                <w:lang w:val="de-DE" w:eastAsia="zh-CN"/>
              </w:rPr>
              <w:t>：</w:t>
            </w:r>
            <w:r>
              <w:rPr>
                <w:rFonts w:hint="eastAsia" w:ascii="宋体" w:hAnsi="宋体"/>
                <w:b/>
                <w:color w:val="000000"/>
                <w:szCs w:val="21"/>
                <w:lang w:val="de-DE"/>
              </w:rPr>
              <w:t xml:space="preserve">2018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sz w:val="21"/>
                <w:szCs w:val="21"/>
              </w:rPr>
              <w:t>■</w:t>
            </w:r>
            <w:r>
              <w:rPr>
                <w:rFonts w:hint="eastAsia" w:ascii="宋体" w:hAnsi="宋体"/>
                <w:b/>
                <w:sz w:val="21"/>
                <w:szCs w:val="21"/>
                <w:lang w:eastAsia="zh-CN"/>
              </w:rPr>
              <w:t>《</w:t>
            </w:r>
            <w:r>
              <w:rPr>
                <w:rFonts w:hint="eastAsia" w:ascii="宋体" w:hAnsi="宋体"/>
                <w:b/>
                <w:sz w:val="21"/>
                <w:szCs w:val="21"/>
              </w:rPr>
              <w:t>危害分析与关键控制点（HACCP）体系认证要求(V1.0)</w:t>
            </w:r>
            <w:r>
              <w:rPr>
                <w:rFonts w:hint="eastAsia" w:ascii="宋体" w:hAnsi="宋体"/>
                <w:b/>
                <w:sz w:val="21"/>
                <w:szCs w:val="21"/>
                <w:lang w:eastAsia="zh-CN"/>
              </w:rPr>
              <w:t>》</w:t>
            </w:r>
          </w:p>
          <w:p>
            <w:pPr>
              <w:rPr>
                <w:rFonts w:hint="eastAsia"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sz w:val="21"/>
                <w:szCs w:val="21"/>
              </w:rPr>
              <w:t>北京市顺义区高丽营镇金马工业园二街4-5号（门牌号）</w:t>
            </w:r>
            <w:r>
              <w:rPr>
                <w:rFonts w:hint="eastAsia"/>
                <w:sz w:val="21"/>
                <w:szCs w:val="21"/>
                <w:lang w:eastAsia="zh-CN"/>
              </w:rPr>
              <w:t>【</w:t>
            </w:r>
            <w:r>
              <w:rPr>
                <w:rFonts w:hint="eastAsia"/>
                <w:sz w:val="21"/>
                <w:szCs w:val="21"/>
                <w:lang w:val="en-US" w:eastAsia="zh-CN"/>
              </w:rPr>
              <w:t>现场远程同时进行</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481"/>
        <w:gridCol w:w="152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481" w:type="dxa"/>
            <w:vAlign w:val="center"/>
          </w:tcPr>
          <w:p>
            <w:pPr>
              <w:spacing w:line="240" w:lineRule="exact"/>
              <w:jc w:val="center"/>
              <w:rPr>
                <w:b/>
                <w:color w:val="000000"/>
                <w:szCs w:val="21"/>
              </w:rPr>
            </w:pPr>
            <w:r>
              <w:rPr>
                <w:rFonts w:hint="eastAsia"/>
                <w:szCs w:val="21"/>
              </w:rPr>
              <w:t>审核员注册证书号</w:t>
            </w:r>
          </w:p>
        </w:tc>
        <w:tc>
          <w:tcPr>
            <w:tcW w:w="1529"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张静</w:t>
            </w:r>
          </w:p>
        </w:tc>
        <w:tc>
          <w:tcPr>
            <w:tcW w:w="1089" w:type="dxa"/>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组长</w:t>
            </w:r>
          </w:p>
        </w:tc>
        <w:tc>
          <w:tcPr>
            <w:tcW w:w="711" w:type="dxa"/>
            <w:vAlign w:val="center"/>
          </w:tcPr>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女</w:t>
            </w:r>
          </w:p>
        </w:tc>
        <w:tc>
          <w:tcPr>
            <w:tcW w:w="3481" w:type="dxa"/>
            <w:vAlign w:val="center"/>
          </w:tcPr>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2021-N1QMS-2011923</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2021-N1EMS-4011923</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2020-N1OHSMS-3011923</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2020-N1FSMS-3011923</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2021-N1HACC</w:t>
            </w:r>
            <w:r>
              <w:rPr>
                <w:rFonts w:hint="eastAsia" w:ascii="Times New Roman" w:hAnsi="Times New Roman" w:cs="Times New Roman"/>
                <w:b/>
                <w:color w:val="000000"/>
                <w:sz w:val="18"/>
                <w:szCs w:val="18"/>
                <w:lang w:val="en-US" w:eastAsia="zh-CN"/>
              </w:rPr>
              <w:t>P</w:t>
            </w:r>
            <w:r>
              <w:rPr>
                <w:rFonts w:hint="default" w:ascii="Times New Roman" w:hAnsi="Times New Roman" w:cs="Times New Roman"/>
                <w:b/>
                <w:color w:val="000000"/>
                <w:sz w:val="18"/>
                <w:szCs w:val="18"/>
              </w:rPr>
              <w:t>-3011923</w:t>
            </w:r>
          </w:p>
        </w:tc>
        <w:tc>
          <w:tcPr>
            <w:tcW w:w="1529" w:type="dxa"/>
            <w:vAlign w:val="center"/>
          </w:tcPr>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Q:30.05.00</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E:30.05.00</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O:30.05.00</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F:E</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H:E</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ascii="Times New Roman" w:hAnsi="Times New Roman" w:eastAsia="宋体" w:cs="Times New Roman"/>
                <w:b/>
                <w:color w:val="000000"/>
                <w:sz w:val="18"/>
                <w:szCs w:val="18"/>
                <w:lang w:eastAsia="zh-CN"/>
              </w:rPr>
            </w:pPr>
            <w:r>
              <w:rPr>
                <w:rFonts w:hint="default" w:ascii="Times New Roman" w:hAnsi="Times New Roman" w:cs="Times New Roman"/>
                <w:b/>
                <w:color w:val="000000"/>
                <w:sz w:val="18"/>
                <w:szCs w:val="18"/>
              </w:rPr>
              <w:t>肖新龙</w:t>
            </w:r>
            <w:r>
              <w:rPr>
                <w:rFonts w:hint="default"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lang w:val="en-US" w:eastAsia="zh-CN"/>
              </w:rPr>
              <w:t>远程</w:t>
            </w:r>
            <w:r>
              <w:rPr>
                <w:rFonts w:hint="default" w:ascii="Times New Roman" w:hAnsi="Times New Roman" w:cs="Times New Roman"/>
                <w:b/>
                <w:color w:val="000000"/>
                <w:sz w:val="18"/>
                <w:szCs w:val="18"/>
                <w:lang w:eastAsia="zh-CN"/>
              </w:rPr>
              <w:t>）</w:t>
            </w:r>
          </w:p>
        </w:tc>
        <w:tc>
          <w:tcPr>
            <w:tcW w:w="1089" w:type="dxa"/>
            <w:vAlign w:val="center"/>
          </w:tcPr>
          <w:p>
            <w:pPr>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组员</w:t>
            </w:r>
          </w:p>
        </w:tc>
        <w:tc>
          <w:tcPr>
            <w:tcW w:w="711" w:type="dxa"/>
            <w:vAlign w:val="center"/>
          </w:tcPr>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女</w:t>
            </w:r>
          </w:p>
        </w:tc>
        <w:tc>
          <w:tcPr>
            <w:tcW w:w="3481" w:type="dxa"/>
            <w:vAlign w:val="center"/>
          </w:tcPr>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2020-N1QMS-1232380</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2021-N1EMS-1232380</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2021-N1OHSMS-1232380</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2020-N1FSMS-1232380</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2020-N1HACCP-1232380</w:t>
            </w:r>
          </w:p>
        </w:tc>
        <w:tc>
          <w:tcPr>
            <w:tcW w:w="1529" w:type="dxa"/>
            <w:vAlign w:val="center"/>
          </w:tcPr>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Q:30.05.00</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E:30.05.00</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O:30.05.00</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F:E</w:t>
            </w:r>
          </w:p>
          <w:p>
            <w:pPr>
              <w:spacing w:line="240" w:lineRule="exac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H:E</w:t>
            </w:r>
          </w:p>
        </w:tc>
        <w:tc>
          <w:tcPr>
            <w:tcW w:w="1088" w:type="dxa"/>
            <w:vAlign w:val="center"/>
          </w:tcPr>
          <w:p>
            <w:pPr>
              <w:spacing w:line="240" w:lineRule="exact"/>
              <w:jc w:val="center"/>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481" w:type="dxa"/>
            <w:vAlign w:val="center"/>
          </w:tcPr>
          <w:p>
            <w:pPr>
              <w:rPr>
                <w:b/>
                <w:color w:val="000000"/>
                <w:szCs w:val="21"/>
              </w:rPr>
            </w:pPr>
          </w:p>
        </w:tc>
        <w:tc>
          <w:tcPr>
            <w:tcW w:w="1529"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481" w:type="dxa"/>
            <w:vAlign w:val="center"/>
          </w:tcPr>
          <w:p>
            <w:pPr>
              <w:rPr>
                <w:b/>
                <w:color w:val="000000"/>
                <w:szCs w:val="21"/>
              </w:rPr>
            </w:pPr>
          </w:p>
        </w:tc>
        <w:tc>
          <w:tcPr>
            <w:tcW w:w="1529"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481" w:type="dxa"/>
            <w:vAlign w:val="center"/>
          </w:tcPr>
          <w:p>
            <w:pPr>
              <w:rPr>
                <w:b/>
                <w:color w:val="000000"/>
                <w:szCs w:val="21"/>
              </w:rPr>
            </w:pPr>
          </w:p>
        </w:tc>
        <w:tc>
          <w:tcPr>
            <w:tcW w:w="1529"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481" w:type="dxa"/>
            <w:vAlign w:val="center"/>
          </w:tcPr>
          <w:p>
            <w:pPr>
              <w:rPr>
                <w:b/>
                <w:color w:val="000000"/>
                <w:szCs w:val="21"/>
              </w:rPr>
            </w:pPr>
          </w:p>
        </w:tc>
        <w:tc>
          <w:tcPr>
            <w:tcW w:w="1529"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481" w:type="dxa"/>
            <w:vAlign w:val="center"/>
          </w:tcPr>
          <w:p>
            <w:pPr>
              <w:rPr>
                <w:b/>
                <w:color w:val="000000"/>
                <w:szCs w:val="21"/>
              </w:rPr>
            </w:pPr>
          </w:p>
        </w:tc>
        <w:tc>
          <w:tcPr>
            <w:tcW w:w="1529"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481" w:type="dxa"/>
            <w:vAlign w:val="center"/>
          </w:tcPr>
          <w:p>
            <w:pPr>
              <w:rPr>
                <w:b/>
                <w:color w:val="000000"/>
                <w:szCs w:val="21"/>
              </w:rPr>
            </w:pPr>
            <w:r>
              <w:rPr>
                <w:rFonts w:hint="eastAsia"/>
                <w:b/>
                <w:color w:val="000000"/>
                <w:szCs w:val="21"/>
              </w:rPr>
              <w:t>工作单位</w:t>
            </w:r>
          </w:p>
        </w:tc>
        <w:tc>
          <w:tcPr>
            <w:tcW w:w="2617"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481" w:type="dxa"/>
            <w:vAlign w:val="center"/>
          </w:tcPr>
          <w:p>
            <w:pPr>
              <w:rPr>
                <w:b/>
                <w:color w:val="000000"/>
                <w:szCs w:val="21"/>
              </w:rPr>
            </w:pPr>
          </w:p>
        </w:tc>
        <w:tc>
          <w:tcPr>
            <w:tcW w:w="2617"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481" w:type="dxa"/>
            <w:vAlign w:val="center"/>
          </w:tcPr>
          <w:p>
            <w:pPr>
              <w:rPr>
                <w:b/>
                <w:color w:val="000000"/>
                <w:szCs w:val="21"/>
                <w:highlight w:val="green"/>
              </w:rPr>
            </w:pPr>
          </w:p>
        </w:tc>
        <w:tc>
          <w:tcPr>
            <w:tcW w:w="2617"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3" w:name="组织名称Add1"/>
            <w:r>
              <w:rPr>
                <w:rFonts w:ascii="宋体"/>
                <w:b/>
                <w:color w:val="000000"/>
                <w:szCs w:val="21"/>
              </w:rPr>
              <w:t>北京同得发餐饮管理有限公司</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4" w:name="注册地址"/>
            <w:r>
              <w:rPr>
                <w:rFonts w:ascii="宋体"/>
                <w:b/>
                <w:color w:val="000000"/>
                <w:szCs w:val="21"/>
              </w:rPr>
              <w:t>北京市顺义区高丽营镇金马工业园二街4-5号（门牌号）</w:t>
            </w:r>
            <w:bookmarkEnd w:id="24"/>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5" w:name="注册邮编"/>
            <w:r>
              <w:rPr>
                <w:rFonts w:ascii="宋体"/>
                <w:b/>
                <w:color w:val="000000"/>
                <w:szCs w:val="21"/>
              </w:rPr>
              <w:t>101300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6" w:name="生产地址"/>
            <w:bookmarkStart w:id="27" w:name="办公地址"/>
            <w:r>
              <w:rPr>
                <w:rFonts w:ascii="宋体"/>
                <w:b/>
                <w:color w:val="000000"/>
                <w:szCs w:val="21"/>
              </w:rPr>
              <w:t>北京市顺义区高丽营镇金马工业园二街4-5号（门牌号）</w:t>
            </w:r>
            <w:bookmarkEnd w:id="26"/>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101300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骆丰收</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left"/>
              <w:rPr>
                <w:rFonts w:ascii="宋体"/>
                <w:b/>
                <w:color w:val="000000"/>
                <w:szCs w:val="21"/>
              </w:rPr>
            </w:pPr>
            <w:bookmarkStart w:id="30" w:name="联系人手机"/>
            <w:r>
              <w:rPr>
                <w:rFonts w:ascii="宋体"/>
                <w:b/>
                <w:color w:val="000000"/>
                <w:szCs w:val="21"/>
              </w:rPr>
              <w:t>13717683411</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vAlign w:val="center"/>
          </w:tcPr>
          <w:p>
            <w:pPr>
              <w:rPr>
                <w:rFonts w:hint="default" w:ascii="Times New Roman" w:hAnsi="Times New Roman" w:eastAsia="宋体" w:cs="Times New Roman"/>
                <w:kern w:val="2"/>
                <w:sz w:val="18"/>
                <w:szCs w:val="18"/>
                <w:lang w:val="en-US" w:eastAsia="zh-CN" w:bidi="ar-SA"/>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谢荣盛</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jc w:val="left"/>
              <w:rPr>
                <w:rFonts w:ascii="宋体"/>
                <w:b/>
                <w:color w:val="000000"/>
                <w:szCs w:val="21"/>
              </w:rPr>
            </w:pPr>
            <w:bookmarkStart w:id="33" w:name="管理者代表"/>
            <w:r>
              <w:rPr>
                <w:rFonts w:ascii="宋体"/>
                <w:b/>
                <w:color w:val="000000"/>
                <w:szCs w:val="21"/>
              </w:rPr>
              <w:t>骆丰收</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vAlign w:val="center"/>
          </w:tcPr>
          <w:p>
            <w:pPr>
              <w:rPr>
                <w:rFonts w:ascii="Times New Roman" w:hAnsi="Times New Roman" w:eastAsia="宋体" w:cs="Times New Roman"/>
                <w:kern w:val="2"/>
                <w:sz w:val="18"/>
                <w:szCs w:val="18"/>
                <w:lang w:val="en-US" w:eastAsia="zh-CN" w:bidi="ar-SA"/>
              </w:rPr>
            </w:pPr>
            <w:r>
              <w:rPr>
                <w:sz w:val="18"/>
                <w:szCs w:val="18"/>
              </w:rPr>
              <w:t>xibao25@163.com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lang w:val="en-US" w:eastAsia="zh-CN"/>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lang w:val="en-US" w:eastAsia="zh-CN"/>
              </w:rPr>
              <w:t>餐饮服务/集体用餐配送服务（热食类食品制售）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hint="eastAsia"/>
              </w:rPr>
            </w:pPr>
            <w:r>
              <w:rPr>
                <w:rFonts w:hint="eastAsia"/>
                <w:b/>
                <w:bCs/>
              </w:rPr>
              <w:t>流程图</w:t>
            </w:r>
            <w:r>
              <w:rPr>
                <w:rFonts w:hint="eastAsia"/>
              </w:rPr>
              <w:t>：</w:t>
            </w:r>
          </w:p>
          <w:p>
            <w:pPr>
              <w:snapToGrid w:val="0"/>
              <w:spacing w:line="240" w:lineRule="auto"/>
              <w:jc w:val="left"/>
              <w:rPr>
                <w:sz w:val="21"/>
                <w:szCs w:val="21"/>
              </w:rPr>
            </w:pPr>
            <w:r>
              <w:rPr>
                <w:rFonts w:hint="eastAsia"/>
                <w:sz w:val="21"/>
                <w:szCs w:val="21"/>
                <w:lang w:val="en-US" w:eastAsia="zh-CN"/>
              </w:rPr>
              <w:t>菜肴制作</w:t>
            </w:r>
            <w:r>
              <w:rPr>
                <w:rFonts w:hint="eastAsia"/>
                <w:sz w:val="21"/>
                <w:szCs w:val="21"/>
              </w:rPr>
              <w:t>：</w:t>
            </w:r>
          </w:p>
          <w:p>
            <w:pPr>
              <w:snapToGrid w:val="0"/>
              <w:spacing w:line="280" w:lineRule="exact"/>
              <w:jc w:val="left"/>
              <w:rPr>
                <w:rFonts w:hint="eastAsia"/>
                <w:lang w:val="en-US" w:eastAsia="zh-CN"/>
              </w:rPr>
            </w:pPr>
            <w:r>
              <w:rPr>
                <w:rFonts w:hint="eastAsia"/>
              </w:rPr>
              <w:t>原料验收—择菜——洗菜——切菜——烹饪（炒、煮）——装</w:t>
            </w:r>
            <w:r>
              <w:rPr>
                <w:rFonts w:hint="eastAsia"/>
                <w:lang w:val="en-US" w:eastAsia="zh-CN"/>
              </w:rPr>
              <w:t>盒</w:t>
            </w:r>
            <w:r>
              <w:rPr>
                <w:rFonts w:hint="eastAsia"/>
              </w:rPr>
              <w:t>—</w:t>
            </w:r>
            <w:r>
              <w:rPr>
                <w:rFonts w:hint="eastAsia"/>
                <w:lang w:val="en-US" w:eastAsia="zh-CN"/>
              </w:rPr>
              <w:t>金探—装箱</w:t>
            </w:r>
            <w:r>
              <w:rPr>
                <w:rFonts w:hint="eastAsia"/>
              </w:rPr>
              <w:t>—</w:t>
            </w:r>
            <w:r>
              <w:rPr>
                <w:rFonts w:hint="eastAsia"/>
                <w:lang w:val="en-US" w:eastAsia="zh-CN"/>
              </w:rPr>
              <w:t>配送</w:t>
            </w:r>
          </w:p>
          <w:p>
            <w:pPr>
              <w:pStyle w:val="2"/>
            </w:pPr>
          </w:p>
          <w:p>
            <w:pPr>
              <w:snapToGrid w:val="0"/>
              <w:spacing w:line="280" w:lineRule="exact"/>
              <w:jc w:val="left"/>
            </w:pPr>
            <w:r>
              <w:rPr>
                <w:rFonts w:hint="eastAsia"/>
                <w:lang w:val="en-US" w:eastAsia="zh-CN"/>
              </w:rPr>
              <w:t>主食类</w:t>
            </w:r>
            <w:r>
              <w:rPr>
                <w:rFonts w:hint="eastAsia"/>
              </w:rPr>
              <w:t>：</w:t>
            </w:r>
          </w:p>
          <w:p>
            <w:pPr>
              <w:snapToGrid w:val="0"/>
              <w:spacing w:line="280" w:lineRule="exact"/>
              <w:jc w:val="left"/>
              <w:rPr>
                <w:rFonts w:hint="eastAsia"/>
                <w:lang w:val="en-US" w:eastAsia="zh-CN"/>
              </w:rPr>
            </w:pPr>
            <w:r>
              <w:rPr>
                <w:rFonts w:hint="eastAsia"/>
              </w:rPr>
              <w:t>原料验收——清洗（大米）——蒸煮——盛碗——装</w:t>
            </w:r>
            <w:r>
              <w:rPr>
                <w:rFonts w:hint="eastAsia"/>
                <w:lang w:val="en-US" w:eastAsia="zh-CN"/>
              </w:rPr>
              <w:t>盒</w:t>
            </w:r>
            <w:r>
              <w:rPr>
                <w:rFonts w:hint="eastAsia"/>
              </w:rPr>
              <w:t>—</w:t>
            </w:r>
            <w:r>
              <w:rPr>
                <w:rFonts w:hint="eastAsia"/>
                <w:lang w:val="en-US" w:eastAsia="zh-CN"/>
              </w:rPr>
              <w:t>金探—装箱</w:t>
            </w:r>
            <w:r>
              <w:rPr>
                <w:rFonts w:hint="eastAsia"/>
              </w:rPr>
              <w:t>—</w:t>
            </w:r>
            <w:r>
              <w:rPr>
                <w:rFonts w:hint="eastAsia"/>
                <w:lang w:val="en-US" w:eastAsia="zh-CN"/>
              </w:rPr>
              <w:t>配送</w:t>
            </w:r>
          </w:p>
          <w:p>
            <w:pPr>
              <w:pStyle w:val="2"/>
              <w:spacing w:line="240" w:lineRule="auto"/>
              <w:rPr>
                <w:sz w:val="21"/>
                <w:szCs w:val="21"/>
              </w:rPr>
            </w:pPr>
            <w:bookmarkStart w:id="36" w:name="_GoBack"/>
            <w:bookmarkEnd w:id="36"/>
          </w:p>
          <w:p>
            <w:pPr>
              <w:snapToGrid w:val="0"/>
              <w:spacing w:line="240" w:lineRule="auto"/>
              <w:jc w:val="left"/>
              <w:rPr>
                <w:sz w:val="21"/>
                <w:szCs w:val="21"/>
              </w:rPr>
            </w:pPr>
            <w:r>
              <w:rPr>
                <w:rFonts w:hint="eastAsia"/>
                <w:sz w:val="21"/>
                <w:szCs w:val="21"/>
                <w:lang w:val="en-US" w:eastAsia="zh-CN"/>
              </w:rPr>
              <w:t>工器具</w:t>
            </w:r>
            <w:r>
              <w:rPr>
                <w:rFonts w:hint="eastAsia"/>
                <w:sz w:val="21"/>
                <w:szCs w:val="21"/>
              </w:rPr>
              <w:t>清洗消毒：</w:t>
            </w:r>
          </w:p>
          <w:p>
            <w:pPr>
              <w:spacing w:line="240" w:lineRule="auto"/>
              <w:rPr>
                <w:rFonts w:hint="eastAsia"/>
                <w:sz w:val="21"/>
                <w:szCs w:val="21"/>
              </w:rPr>
            </w:pPr>
            <w:r>
              <w:rPr>
                <w:rFonts w:hint="eastAsia"/>
                <w:sz w:val="21"/>
                <w:szCs w:val="21"/>
              </w:rPr>
              <w:t xml:space="preserve">餐具——回收——清洗——消毒——备用 </w:t>
            </w:r>
          </w:p>
          <w:p>
            <w:pPr>
              <w:pStyle w:val="2"/>
              <w:spacing w:line="240" w:lineRule="auto"/>
              <w:rPr>
                <w:rFonts w:hint="eastAsia"/>
                <w:sz w:val="21"/>
                <w:szCs w:val="21"/>
                <w:highlight w:val="none"/>
              </w:rPr>
            </w:pPr>
          </w:p>
          <w:p>
            <w:pPr>
              <w:tabs>
                <w:tab w:val="left" w:pos="360"/>
              </w:tabs>
              <w:spacing w:line="240" w:lineRule="auto"/>
              <w:ind w:left="360" w:hanging="360"/>
              <w:rPr>
                <w:rFonts w:ascii="宋体"/>
                <w:color w:val="000000"/>
                <w:szCs w:val="21"/>
              </w:rPr>
            </w:pPr>
            <w:r>
              <w:rPr>
                <w:rFonts w:hint="eastAsia" w:ascii="Times New Roman" w:hAnsi="Times New Roman" w:eastAsia="宋体" w:cs="Times New Roman"/>
                <w:kern w:val="2"/>
                <w:sz w:val="21"/>
                <w:szCs w:val="21"/>
                <w:lang w:val="en-US" w:eastAsia="zh-CN" w:bidi="ar-SA"/>
              </w:rPr>
              <w:t>餐盒消毒：</w:t>
            </w:r>
            <w:r>
              <w:rPr>
                <w:rFonts w:hint="eastAsia" w:cs="Times New Roman"/>
                <w:kern w:val="2"/>
                <w:sz w:val="21"/>
                <w:szCs w:val="21"/>
                <w:lang w:val="en-US" w:eastAsia="zh-CN" w:bidi="ar-SA"/>
              </w:rPr>
              <w:t>一次性可降解餐盒，每批使用前</w:t>
            </w:r>
            <w:r>
              <w:rPr>
                <w:rFonts w:hint="eastAsia" w:ascii="Times New Roman" w:hAnsi="Times New Roman" w:eastAsia="宋体" w:cs="Times New Roman"/>
                <w:kern w:val="2"/>
                <w:sz w:val="21"/>
                <w:szCs w:val="21"/>
                <w:lang w:val="en-US" w:eastAsia="zh-CN" w:bidi="ar-SA"/>
              </w:rPr>
              <w:t>紫外线照射</w:t>
            </w:r>
            <w:r>
              <w:rPr>
                <w:rFonts w:hint="eastAsia" w:cs="Times New Roman"/>
                <w:kern w:val="2"/>
                <w:sz w:val="21"/>
                <w:szCs w:val="21"/>
                <w:lang w:val="en-US" w:eastAsia="zh-CN" w:bidi="ar-SA"/>
              </w:rPr>
              <w:t>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集体用餐配送（热食类食品制售）</w:t>
            </w:r>
          </w:p>
        </w:tc>
        <w:tc>
          <w:tcPr>
            <w:tcW w:w="2006" w:type="dxa"/>
            <w:gridSpan w:val="3"/>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rPr>
                <w:rFonts w:hint="eastAsia" w:ascii="宋体" w:hAnsi="宋体" w:eastAsia="宋体"/>
                <w:b/>
                <w:color w:val="000000"/>
                <w:szCs w:val="21"/>
                <w:lang w:eastAsia="zh-CN"/>
              </w:rPr>
            </w:pPr>
            <w:r>
              <w:rPr>
                <w:rFonts w:hint="eastAsia"/>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集体用餐配送（热食类食品制售）所涉及场所的相关职业健康安全管理活动</w:t>
            </w:r>
          </w:p>
        </w:tc>
        <w:tc>
          <w:tcPr>
            <w:tcW w:w="2006" w:type="dxa"/>
            <w:gridSpan w:val="3"/>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集体用餐配送（热食类食品制售）所涉及场所的相关职业健康安全管理活动</w:t>
            </w:r>
          </w:p>
        </w:tc>
        <w:tc>
          <w:tcPr>
            <w:tcW w:w="2006" w:type="dxa"/>
            <w:gridSpan w:val="3"/>
            <w:vAlign w:val="center"/>
          </w:tcPr>
          <w:p>
            <w:pPr>
              <w:spacing w:line="400" w:lineRule="exact"/>
              <w:rPr>
                <w:rFonts w:ascii="宋体" w:hAnsi="宋体"/>
                <w:b/>
                <w:color w:val="000000"/>
                <w:szCs w:val="21"/>
              </w:rPr>
            </w:pPr>
            <w: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t>位于北京市顺义区高丽营镇金马工业园二街4-5号（门牌号）北京同得发餐饮管理有限公司的集体用餐配送（热食类食品制售）</w:t>
            </w:r>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t>位于北京市顺义区高丽营镇金马工业园二街4-5号（门牌号）北京同得发餐饮管理有限公司的集体用餐配送（热食类食品制售）</w:t>
            </w:r>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北京同得发餐饮管理有限公司</w:t>
            </w:r>
          </w:p>
          <w:p>
            <w:pPr>
              <w:pStyle w:val="2"/>
              <w:rPr>
                <w:sz w:val="21"/>
                <w:szCs w:val="21"/>
                <w:lang w:val="de-DE" w:eastAsia="ja-JP"/>
              </w:rPr>
            </w:pPr>
            <w:r>
              <w:rPr>
                <w:sz w:val="21"/>
                <w:szCs w:val="21"/>
              </w:rPr>
              <w:t>北京市顺义区高丽营镇金马工业园二街4-5号（门牌号）</w:t>
            </w:r>
          </w:p>
        </w:tc>
        <w:tc>
          <w:tcPr>
            <w:tcW w:w="2267" w:type="dxa"/>
          </w:tcPr>
          <w:p>
            <w:pPr>
              <w:spacing w:before="40" w:after="40"/>
              <w:rPr>
                <w:rFonts w:eastAsia="黑体"/>
                <w:sz w:val="21"/>
                <w:szCs w:val="21"/>
                <w:lang w:val="de-DE" w:eastAsia="ja-JP"/>
              </w:rPr>
            </w:pPr>
            <w:r>
              <w:rPr>
                <w:sz w:val="21"/>
                <w:szCs w:val="21"/>
              </w:rPr>
              <w:t>北京市顺义区高丽营镇金马工业园二街4-5号（门牌号）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23</w:t>
            </w:r>
          </w:p>
        </w:tc>
        <w:tc>
          <w:tcPr>
            <w:tcW w:w="2803" w:type="dxa"/>
            <w:vAlign w:val="center"/>
          </w:tcPr>
          <w:p>
            <w:pPr>
              <w:spacing w:line="240" w:lineRule="auto"/>
              <w:rPr>
                <w:rFonts w:hint="eastAsia" w:eastAsia="宋体"/>
                <w:sz w:val="15"/>
                <w:szCs w:val="15"/>
                <w:lang w:eastAsia="zh-CN"/>
              </w:rPr>
            </w:pPr>
            <w:bookmarkStart w:id="34" w:name="审核范围"/>
            <w:r>
              <w:rPr>
                <w:sz w:val="15"/>
                <w:szCs w:val="15"/>
              </w:rPr>
              <w:t>Q：集体用餐配送（热食类食品制售）</w:t>
            </w:r>
          </w:p>
          <w:p>
            <w:pPr>
              <w:rPr>
                <w:sz w:val="15"/>
                <w:szCs w:val="15"/>
              </w:rPr>
            </w:pPr>
            <w:r>
              <w:rPr>
                <w:sz w:val="15"/>
                <w:szCs w:val="15"/>
              </w:rPr>
              <w:t>E：集体用餐配送（热食类食品制售）所涉及场所的相关环境管理活动</w:t>
            </w:r>
          </w:p>
          <w:p>
            <w:pPr>
              <w:rPr>
                <w:sz w:val="15"/>
                <w:szCs w:val="15"/>
              </w:rPr>
            </w:pPr>
            <w:r>
              <w:rPr>
                <w:sz w:val="15"/>
                <w:szCs w:val="15"/>
              </w:rPr>
              <w:t>O：集体用餐配送（热食类食品制售）所涉及场所的相关职业健康安全管理活动</w:t>
            </w:r>
          </w:p>
          <w:p>
            <w:pPr>
              <w:rPr>
                <w:sz w:val="15"/>
                <w:szCs w:val="15"/>
              </w:rPr>
            </w:pPr>
            <w:r>
              <w:rPr>
                <w:sz w:val="15"/>
                <w:szCs w:val="15"/>
              </w:rPr>
              <w:t>F：位于北京市顺义区高丽营镇金马工业园二街4-5号（门牌号）北京同得发餐饮管理有限公司的集体用餐配送（热食类食品制售）</w:t>
            </w:r>
          </w:p>
          <w:p>
            <w:pPr>
              <w:pStyle w:val="19"/>
              <w:rPr>
                <w:rFonts w:eastAsia="黑体" w:cs="Arial"/>
                <w:sz w:val="21"/>
                <w:szCs w:val="21"/>
                <w:lang w:val="en-US" w:eastAsia="ja-JP"/>
              </w:rPr>
            </w:pPr>
            <w:r>
              <w:rPr>
                <w:sz w:val="15"/>
                <w:szCs w:val="15"/>
              </w:rPr>
              <w:t>H：位于北京市顺义区高丽营镇金马工业园二街4-5号（门牌号）北京同得发餐饮管理有限公司的集体用餐配送（热食类食品制售）</w:t>
            </w:r>
            <w:bookmarkEnd w:id="34"/>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hAnsi="宋体"/>
                <w:color w:val="000000"/>
                <w:spacing w:val="-10"/>
                <w:szCs w:val="21"/>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hAnsi="宋体"/>
                <w:color w:val="000000"/>
                <w:spacing w:val="-10"/>
                <w:szCs w:val="21"/>
              </w:rPr>
              <w:sym w:font="Wingdings 2" w:char="0052"/>
            </w:r>
            <w:r>
              <w:rPr>
                <w:rFonts w:hint="eastAsia" w:ascii="宋体"/>
                <w:b w:val="0"/>
                <w:bCs/>
                <w:color w:val="000000"/>
                <w:sz w:val="21"/>
                <w:szCs w:val="21"/>
                <w:lang w:val="en-US" w:eastAsia="zh-CN"/>
              </w:rPr>
              <w:t>经营/</w:t>
            </w:r>
            <w:r>
              <w:rPr>
                <w:rFonts w:hint="eastAsia" w:ascii="宋体" w:hAnsi="宋体"/>
                <w:color w:val="000000"/>
                <w:spacing w:val="-10"/>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hint="eastAsia" w:ascii="宋体" w:hAnsi="宋体" w:eastAsia="宋体"/>
                <w:color w:val="000000"/>
                <w:spacing w:val="-10"/>
                <w:szCs w:val="21"/>
                <w:lang w:eastAsia="zh-CN"/>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lang w:eastAsia="zh-CN"/>
              </w:rPr>
              <w:t>【</w:t>
            </w:r>
            <w:r>
              <w:rPr>
                <w:rFonts w:hint="eastAsia"/>
                <w:lang w:val="en-US" w:eastAsia="zh-CN"/>
              </w:rPr>
              <w:t>不适用</w:t>
            </w:r>
            <w:r>
              <w:rPr>
                <w:rFonts w:hint="eastAsia"/>
                <w:lang w:eastAsia="zh-CN"/>
              </w:rPr>
              <w:t>】</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 xml:space="preserve">10 </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2</w:t>
            </w:r>
            <w:r>
              <w:rPr>
                <w:rFonts w:hint="eastAsia" w:ascii="宋体" w:hAnsi="宋体"/>
                <w:b/>
                <w:color w:val="000000"/>
                <w:szCs w:val="21"/>
                <w:u w:val="single"/>
              </w:rPr>
              <w:t>月</w:t>
            </w:r>
            <w:r>
              <w:rPr>
                <w:rFonts w:hint="eastAsia" w:ascii="宋体" w:hAnsi="宋体"/>
                <w:b/>
                <w:color w:val="000000"/>
                <w:szCs w:val="21"/>
                <w:u w:val="single"/>
                <w:lang w:val="en-US" w:eastAsia="zh-CN"/>
              </w:rPr>
              <w:t>21-22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2022年2月28 日</w:t>
            </w:r>
            <w:r>
              <w:rPr>
                <w:rFonts w:hint="eastAsia" w:ascii="宋体" w:hAnsi="宋体" w:eastAsia="宋体"/>
                <w:color w:val="000000"/>
                <w:sz w:val="21"/>
                <w:szCs w:val="21"/>
                <w:lang w:val="en-US" w:eastAsia="zh-CN"/>
              </w:rPr>
              <w:t>完成管理评审，包括所有标准要求的输入和输出,对组织的管理体系的适宜性、充分性和有效性进行了评价。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zCs w:val="21"/>
              </w:rPr>
              <w:t>（</w:t>
            </w:r>
            <w:r>
              <w:rPr>
                <w:rFonts w:ascii="宋体" w:hAnsi="宋体"/>
                <w:strike/>
                <w:dstrike w:val="0"/>
                <w:color w:val="000000"/>
                <w:szCs w:val="21"/>
              </w:rPr>
              <w:t>3</w:t>
            </w:r>
            <w:r>
              <w:rPr>
                <w:rFonts w:hint="eastAsia" w:ascii="宋体" w:hAnsi="宋体"/>
                <w:strike/>
                <w:dstrike w:val="0"/>
                <w:color w:val="000000"/>
                <w:szCs w:val="21"/>
              </w:rPr>
              <w:t>）不适用条款理由的详细说明</w:t>
            </w:r>
          </w:p>
        </w:tc>
        <w:tc>
          <w:tcPr>
            <w:tcW w:w="1063"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合理</w:t>
            </w:r>
          </w:p>
        </w:tc>
        <w:tc>
          <w:tcPr>
            <w:tcW w:w="1637"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lang w:eastAsia="zh-CN"/>
              </w:rPr>
              <w:t>采购、</w:t>
            </w:r>
            <w:r>
              <w:rPr>
                <w:rFonts w:hint="eastAsia" w:ascii="宋体"/>
                <w:color w:val="000000"/>
                <w:szCs w:val="21"/>
                <w:lang w:val="en-US" w:eastAsia="zh-CN"/>
              </w:rPr>
              <w:t>食材储存、餐食加工、工器具消毒、配送</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热加工过程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lang w:val="en-US" w:eastAsia="zh-CN"/>
              </w:rPr>
              <w:t>第三方检测、虫鼠害控制和垃圾清运、油烟机清理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hAnsi="宋体"/>
                <w:color w:val="000000"/>
                <w:szCs w:val="21"/>
              </w:rPr>
              <w:t>是否按法规要求检测和备案要且完好运行</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zCs w:val="21"/>
              </w:rPr>
              <w:t>是否有</w:t>
            </w:r>
            <w:r>
              <w:rPr>
                <w:rFonts w:hint="eastAsia" w:ascii="宋体"/>
                <w:strike/>
                <w:dstrike w:val="0"/>
                <w:color w:val="000000"/>
                <w:szCs w:val="21"/>
              </w:rPr>
              <w:t>型式试验</w:t>
            </w:r>
            <w:r>
              <w:rPr>
                <w:rFonts w:hint="eastAsia" w:ascii="宋体" w:hAnsi="宋体"/>
                <w:strike/>
                <w:dstrike w:val="0"/>
                <w:color w:val="000000"/>
                <w:szCs w:val="21"/>
              </w:rPr>
              <w:t>报告</w:t>
            </w:r>
          </w:p>
        </w:tc>
        <w:tc>
          <w:tcPr>
            <w:tcW w:w="1063" w:type="dxa"/>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637" w:type="dxa"/>
            <w:shd w:val="clear" w:color="auto" w:fill="DBEEF3" w:themeFill="accent5" w:themeFillTint="32"/>
          </w:tcPr>
          <w:p>
            <w:pPr>
              <w:rPr>
                <w:rFonts w:ascii="宋体" w:hAns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hint="default" w:ascii="宋体" w:hAnsi="宋体" w:eastAsia="宋体"/>
                <w:b/>
                <w:color w:val="000000"/>
                <w:sz w:val="20"/>
                <w:szCs w:val="20"/>
                <w:lang w:val="en-US" w:eastAsia="zh-CN"/>
              </w:rPr>
            </w:pPr>
            <w:r>
              <w:rPr>
                <w:rFonts w:hint="eastAsia" w:ascii="宋体" w:hAnsi="宋体"/>
                <w:b/>
                <w:color w:val="000000"/>
                <w:sz w:val="20"/>
                <w:szCs w:val="20"/>
              </w:rPr>
              <w:t>其他：</w:t>
            </w:r>
            <w:r>
              <w:rPr>
                <w:rFonts w:hint="eastAsia" w:ascii="宋体" w:hAnsi="宋体"/>
                <w:b/>
                <w:color w:val="000000"/>
                <w:sz w:val="20"/>
                <w:szCs w:val="20"/>
                <w:lang w:val="en-US" w:eastAsia="zh-CN"/>
              </w:rPr>
              <w:t>运输配送过程</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eastAsia="宋体"/>
                <w:color w:val="000000"/>
                <w:szCs w:val="21"/>
                <w:lang w:eastAsia="zh-CN"/>
              </w:rPr>
            </w:pPr>
            <w:r>
              <w:rPr>
                <w:rFonts w:hint="eastAsia" w:ascii="宋体" w:hAnsi="宋体"/>
                <w:color w:val="000000"/>
                <w:szCs w:val="21"/>
              </w:rPr>
              <w:t>（6）对特种设备是否按法规要求检测和备案且完好运行</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hint="default" w:ascii="宋体" w:eastAsia="宋体"/>
                <w:color w:val="000000"/>
                <w:szCs w:val="21"/>
                <w:lang w:val="en-US" w:eastAsia="zh-CN"/>
              </w:rPr>
            </w:pPr>
            <w:r>
              <w:rPr>
                <w:rFonts w:hint="eastAsia" w:ascii="宋体"/>
                <w:color w:val="000000"/>
                <w:szCs w:val="21"/>
              </w:rPr>
              <w:t>是否按法规办理了《排污许可证》</w:t>
            </w:r>
            <w:r>
              <w:rPr>
                <w:rFonts w:hint="eastAsia" w:ascii="宋体"/>
                <w:color w:val="000000"/>
                <w:szCs w:val="21"/>
                <w:lang w:eastAsia="zh-CN"/>
              </w:rPr>
              <w:t>，</w:t>
            </w:r>
            <w:r>
              <w:rPr>
                <w:rFonts w:hint="eastAsia"/>
                <w:color w:val="1F497D" w:themeColor="text2"/>
                <w:szCs w:val="18"/>
                <w:highlight w:val="none"/>
                <w:u w:val="single"/>
                <w:lang w:val="en-US" w:eastAsia="zh-CN"/>
              </w:rPr>
              <w:t>提供有与《北京顺鑫农业股份有限公司创新食品分公司》的排污协议；每年签订1次；</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hint="default" w:ascii="宋体" w:eastAsia="宋体"/>
                <w:color w:val="000000"/>
                <w:spacing w:val="-10"/>
                <w:szCs w:val="21"/>
                <w:lang w:val="en-US" w:eastAsia="zh-CN"/>
              </w:rPr>
            </w:pPr>
            <w:r>
              <w:rPr>
                <w:rFonts w:hint="eastAsia" w:ascii="宋体"/>
                <w:color w:val="000000"/>
                <w:spacing w:val="-10"/>
                <w:szCs w:val="21"/>
                <w:u w:val="single"/>
              </w:rPr>
              <w:t>其他：</w:t>
            </w:r>
            <w:r>
              <w:rPr>
                <w:rFonts w:hint="eastAsia" w:ascii="宋体"/>
                <w:color w:val="000000"/>
                <w:spacing w:val="-10"/>
                <w:szCs w:val="21"/>
                <w:u w:val="single"/>
                <w:lang w:val="en-US" w:eastAsia="zh-CN"/>
              </w:rPr>
              <w:t>厨余垃圾的清运</w:t>
            </w:r>
          </w:p>
        </w:tc>
      </w:tr>
    </w:tbl>
    <w:p>
      <w:pPr>
        <w:spacing w:before="40" w:after="40"/>
        <w:rPr>
          <w:rFonts w:eastAsia="黑体"/>
          <w:szCs w:val="21"/>
        </w:rPr>
      </w:pPr>
    </w:p>
    <w:p>
      <w:pPr>
        <w:pStyle w:val="2"/>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1165"/>
        <w:gridCol w:w="4461"/>
        <w:gridCol w:w="102"/>
        <w:gridCol w:w="901"/>
        <w:gridCol w:w="162"/>
        <w:gridCol w:w="16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9" w:type="dxa"/>
          <w:cantSplit/>
          <w:trHeight w:val="57" w:hRule="atLeast"/>
        </w:trPr>
        <w:tc>
          <w:tcPr>
            <w:tcW w:w="9754" w:type="dxa"/>
            <w:gridSpan w:val="7"/>
            <w:shd w:val="clear" w:color="auto" w:fill="F3F3F3"/>
            <w:vAlign w:val="center"/>
          </w:tcPr>
          <w:p>
            <w:pPr>
              <w:spacing w:before="40" w:after="40"/>
              <w:rPr>
                <w:rFonts w:eastAsia="黑体"/>
                <w:szCs w:val="21"/>
              </w:rPr>
            </w:pPr>
            <w:r>
              <w:rPr>
                <w:rFonts w:hint="eastAsia" w:ascii="宋体" w:hAnsi="宋体"/>
                <w:color w:val="000000"/>
                <w:spacing w:val="-10"/>
                <w:szCs w:val="21"/>
              </w:rPr>
              <w:sym w:font="Wingdings 2" w:char="0052"/>
            </w:r>
            <w:r>
              <w:rPr>
                <w:rFonts w:eastAsia="黑体"/>
                <w:b/>
                <w:szCs w:val="21"/>
              </w:rPr>
              <w:t>ISO 45001</w:t>
            </w:r>
            <w:r>
              <w:rPr>
                <w:rFonts w:hint="eastAsia" w:eastAsia="黑体"/>
                <w:b/>
                <w:szCs w:val="21"/>
              </w:rPr>
              <w:t>:2018</w:t>
            </w:r>
            <w:r>
              <w:rPr>
                <w:rFonts w:eastAsia="黑体"/>
                <w:b/>
                <w:szCs w:val="21"/>
              </w:rPr>
              <w:t>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9754" w:type="dxa"/>
            <w:gridSpan w:val="7"/>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gridSpan w:val="2"/>
            <w:shd w:val="clear" w:color="auto" w:fill="FFFF00"/>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需完善</w:t>
            </w:r>
            <w:r>
              <w:rPr>
                <w:rFonts w:hint="eastAsia" w:ascii="宋体" w:hAnsi="宋体"/>
                <w:color w:val="000000"/>
                <w:szCs w:val="21"/>
                <w:lang w:eastAsia="zh-CN"/>
              </w:rPr>
              <w:t>，</w:t>
            </w:r>
            <w:r>
              <w:rPr>
                <w:rFonts w:hint="eastAsia" w:ascii="宋体" w:hAnsi="宋体"/>
                <w:color w:val="000000"/>
                <w:szCs w:val="21"/>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3"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38"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3" w:hRule="atLeast"/>
          <w:jc w:val="center"/>
        </w:trPr>
        <w:tc>
          <w:tcPr>
            <w:tcW w:w="6961" w:type="dxa"/>
            <w:gridSpan w:val="3"/>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45" w:hRule="atLeast"/>
          <w:jc w:val="center"/>
        </w:trPr>
        <w:tc>
          <w:tcPr>
            <w:tcW w:w="6961" w:type="dxa"/>
            <w:gridSpan w:val="3"/>
            <w:shd w:val="clear" w:color="auto" w:fill="FFFF00"/>
          </w:tcPr>
          <w:p>
            <w:pPr>
              <w:rPr>
                <w:rFonts w:hint="eastAsia" w:ascii="宋体" w:hAnsi="宋体" w:eastAsia="宋体"/>
                <w:color w:val="000000"/>
                <w:szCs w:val="21"/>
                <w:lang w:eastAsia="zh-CN"/>
              </w:rPr>
            </w:pPr>
            <w:r>
              <w:rPr>
                <w:rFonts w:hint="eastAsia" w:ascii="宋体" w:hAnsi="宋体"/>
                <w:color w:val="000000"/>
                <w:szCs w:val="21"/>
              </w:rPr>
              <w:t>（7）对特种设备是否按法规要求检测和备案且完好运行</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44"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37"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412" w:hRule="atLeast"/>
          <w:jc w:val="center"/>
        </w:trPr>
        <w:tc>
          <w:tcPr>
            <w:tcW w:w="6961" w:type="dxa"/>
            <w:gridSpan w:val="3"/>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gridSpan w:val="2"/>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gridSpan w:val="2"/>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gridSpan w:val="2"/>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1" w:hRule="atLeast"/>
          <w:jc w:val="center"/>
        </w:trPr>
        <w:tc>
          <w:tcPr>
            <w:tcW w:w="1335" w:type="dxa"/>
            <w:shd w:val="clear" w:color="auto" w:fill="FFFF00"/>
          </w:tcPr>
          <w:p>
            <w:pPr>
              <w:rPr>
                <w:rFonts w:ascii="宋体"/>
                <w:color w:val="000000"/>
                <w:spacing w:val="-10"/>
                <w:szCs w:val="21"/>
                <w:highlight w:val="none"/>
              </w:rPr>
            </w:pPr>
            <w:r>
              <w:rPr>
                <w:rFonts w:hint="eastAsia" w:ascii="宋体"/>
                <w:color w:val="000000"/>
                <w:spacing w:val="-10"/>
                <w:szCs w:val="21"/>
                <w:highlight w:val="none"/>
              </w:rPr>
              <w:t>职业健康安全管理体系重点关注</w:t>
            </w:r>
          </w:p>
        </w:tc>
        <w:tc>
          <w:tcPr>
            <w:tcW w:w="8419" w:type="dxa"/>
            <w:gridSpan w:val="6"/>
            <w:shd w:val="clear" w:color="auto" w:fill="FFFF00"/>
          </w:tcPr>
          <w:p>
            <w:pPr>
              <w:rPr>
                <w:rFonts w:ascii="宋体"/>
                <w:color w:val="000000"/>
                <w:spacing w:val="-10"/>
                <w:szCs w:val="21"/>
                <w:highlight w:val="none"/>
              </w:rPr>
            </w:pPr>
            <w:r>
              <w:rPr>
                <w:rFonts w:hint="eastAsia" w:ascii="宋体"/>
                <w:color w:val="000000"/>
                <w:spacing w:val="-10"/>
                <w:szCs w:val="21"/>
                <w:highlight w:val="none"/>
              </w:rPr>
              <w:sym w:font="Wingdings 2" w:char="0052"/>
            </w:r>
            <w:r>
              <w:rPr>
                <w:rFonts w:hint="eastAsia" w:ascii="宋体"/>
                <w:color w:val="000000"/>
                <w:spacing w:val="-10"/>
                <w:szCs w:val="21"/>
                <w:highlight w:val="none"/>
              </w:rPr>
              <w:t>安全和职业健康主管部门、□职业危害场所、□高风险作业场所，□危险化学品仓库，包括周边境况。</w:t>
            </w:r>
          </w:p>
          <w:p>
            <w:pPr>
              <w:rPr>
                <w:rFonts w:ascii="宋体"/>
                <w:color w:val="000000"/>
                <w:spacing w:val="-10"/>
                <w:szCs w:val="21"/>
                <w:highlight w:val="none"/>
              </w:rPr>
            </w:pPr>
            <w:r>
              <w:rPr>
                <w:rFonts w:hint="eastAsia" w:ascii="宋体"/>
                <w:color w:val="000000"/>
                <w:spacing w:val="-10"/>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8"/>
            <w:shd w:val="clear" w:color="auto" w:fill="F3F3F3"/>
            <w:vAlign w:val="center"/>
          </w:tcPr>
          <w:p>
            <w:pPr>
              <w:spacing w:before="40" w:after="40"/>
              <w:rPr>
                <w:rFonts w:eastAsia="黑体"/>
                <w:szCs w:val="21"/>
              </w:rPr>
            </w:pPr>
            <w:r>
              <w:rPr>
                <w:rFonts w:hint="eastAsia" w:ascii="宋体" w:hAnsi="宋体"/>
                <w:color w:val="000000"/>
                <w:spacing w:val="-10"/>
                <w:szCs w:val="21"/>
              </w:rPr>
              <w:sym w:font="Wingdings 2" w:char="0052"/>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8"/>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r>
              <w:rPr>
                <w:rFonts w:hint="eastAsia" w:ascii="宋体" w:hAnsi="宋体"/>
                <w:color w:val="000000"/>
                <w:szCs w:val="21"/>
                <w:lang w:val="en-US" w:eastAsia="zh-CN"/>
              </w:rPr>
              <w:t>[不适用]</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trike/>
                <w:dstrike w:val="0"/>
                <w:sz w:val="20"/>
                <w:lang w:val="en-GB" w:eastAsia="zh-CN"/>
              </w:rPr>
            </w:pPr>
            <w:r>
              <w:rPr>
                <w:rFonts w:hint="eastAsia" w:ascii="宋体" w:hAnsi="宋体" w:eastAsia="宋体"/>
                <w:b w:val="0"/>
                <w:bCs/>
                <w:strike/>
                <w:dstrike w:val="0"/>
                <w:sz w:val="20"/>
                <w:lang w:val="en-GB" w:eastAsia="zh-CN"/>
              </w:rPr>
              <w:t>（</w:t>
            </w:r>
            <w:r>
              <w:rPr>
                <w:rFonts w:hint="eastAsia" w:ascii="宋体" w:hAnsi="宋体" w:eastAsia="宋体"/>
                <w:b w:val="0"/>
                <w:bCs/>
                <w:strike/>
                <w:dstrike w:val="0"/>
                <w:sz w:val="20"/>
                <w:lang w:val="en-US" w:eastAsia="zh-CN"/>
              </w:rPr>
              <w:t>8</w:t>
            </w:r>
            <w:r>
              <w:rPr>
                <w:rFonts w:hint="eastAsia" w:ascii="宋体" w:hAnsi="宋体" w:eastAsia="宋体"/>
                <w:b w:val="0"/>
                <w:bCs/>
                <w:strike/>
                <w:dstrike w:val="0"/>
                <w:sz w:val="20"/>
                <w:lang w:val="en-GB" w:eastAsia="zh-CN"/>
              </w:rPr>
              <w:t>）初步评价OPRP的</w:t>
            </w:r>
            <w:r>
              <w:rPr>
                <w:rFonts w:hint="eastAsia" w:ascii="宋体" w:hAnsi="宋体" w:eastAsia="宋体"/>
                <w:b w:val="0"/>
                <w:bCs/>
                <w:strike/>
                <w:dstrike w:val="0"/>
                <w:sz w:val="20"/>
                <w:lang w:val="en-US" w:eastAsia="zh-CN"/>
              </w:rPr>
              <w:t>策划和</w:t>
            </w:r>
            <w:r>
              <w:rPr>
                <w:rFonts w:hint="eastAsia" w:ascii="宋体" w:hAnsi="宋体" w:eastAsia="宋体"/>
                <w:b w:val="0"/>
                <w:bCs/>
                <w:strike/>
                <w:dstrike w:val="0"/>
                <w:sz w:val="20"/>
                <w:lang w:val="en-GB" w:eastAsia="zh-CN"/>
              </w:rPr>
              <w:t>实施是否符合要求【</w:t>
            </w:r>
            <w:r>
              <w:rPr>
                <w:rFonts w:hint="eastAsia" w:ascii="宋体" w:hAnsi="宋体" w:eastAsia="宋体"/>
                <w:b w:val="0"/>
                <w:bCs/>
                <w:strike/>
                <w:dstrike w:val="0"/>
                <w:sz w:val="20"/>
                <w:lang w:val="en-US" w:eastAsia="zh-CN"/>
              </w:rPr>
              <w:t>不适用</w:t>
            </w:r>
            <w:r>
              <w:rPr>
                <w:rFonts w:hint="eastAsia" w:ascii="宋体" w:hAnsi="宋体" w:eastAsia="宋体"/>
                <w:b w:val="0"/>
                <w:bCs/>
                <w:strike/>
                <w:dstrike w:val="0"/>
                <w:sz w:val="20"/>
                <w:lang w:val="en-GB" w:eastAsia="zh-CN"/>
              </w:rPr>
              <w:t>】</w:t>
            </w:r>
          </w:p>
        </w:tc>
        <w:tc>
          <w:tcPr>
            <w:tcW w:w="1063" w:type="dxa"/>
            <w:gridSpan w:val="2"/>
            <w:shd w:val="clear" w:color="auto" w:fill="E6E0EC" w:themeFill="accent4" w:themeFillTint="32"/>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637" w:type="dxa"/>
            <w:gridSpan w:val="2"/>
            <w:shd w:val="clear" w:color="auto" w:fill="E6E0EC" w:themeFill="accent4" w:themeFillTint="32"/>
          </w:tcPr>
          <w:p>
            <w:pPr>
              <w:rPr>
                <w:rFonts w:ascii="宋体"/>
                <w:strike/>
                <w:dstrike w:val="0"/>
                <w:color w:val="000000"/>
                <w:spacing w:val="-1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w:t>
            </w:r>
            <w:r>
              <w:rPr>
                <w:rFonts w:hint="eastAsia"/>
                <w:szCs w:val="18"/>
                <w:lang w:val="en-US" w:eastAsia="zh-CN"/>
              </w:rPr>
              <w:t>及</w:t>
            </w:r>
            <w:r>
              <w:rPr>
                <w:rFonts w:hint="eastAsia"/>
                <w:szCs w:val="18"/>
              </w:rPr>
              <w:t>关键限值</w:t>
            </w:r>
            <w:r>
              <w:rPr>
                <w:rFonts w:hint="eastAsia"/>
                <w:szCs w:val="18"/>
                <w:lang w:eastAsia="zh-CN"/>
              </w:rPr>
              <w:t>、</w:t>
            </w:r>
            <w:r>
              <w:rPr>
                <w:rFonts w:hint="eastAsia"/>
                <w:szCs w:val="18"/>
                <w:lang w:val="en-US" w:eastAsia="zh-CN"/>
              </w:rPr>
              <w:t>OPRP点及行动准则</w:t>
            </w:r>
            <w:r>
              <w:t>的支持性证据</w:t>
            </w:r>
            <w:r>
              <w:rPr>
                <w:rFonts w:hint="eastAsia"/>
              </w:rPr>
              <w:t>的适宜性</w:t>
            </w:r>
            <w: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rPr>
                <w:rFonts w:hint="eastAsia" w:eastAsia="宋体"/>
                <w:lang w:eastAsia="zh-CN"/>
              </w:rPr>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rPr>
                <w:rFonts w:hint="eastAsia"/>
                <w:lang w:eastAsia="zh-CN"/>
              </w:rP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3"/>
              <w:ind w:firstLine="0" w:firstLineChars="0"/>
              <w:rPr>
                <w:rFonts w:hint="eastAsia" w:eastAsia="宋体"/>
                <w:lang w:eastAsia="zh-CN"/>
              </w:rPr>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rPr>
                <w:rFonts w:hint="eastAsia"/>
                <w:lang w:eastAsia="zh-CN"/>
              </w:rP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4"/>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8"/>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2500"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w:t>
            </w:r>
            <w:r>
              <w:rPr>
                <w:rFonts w:hint="eastAsia" w:ascii="宋体" w:hAnsi="宋体"/>
                <w:color w:val="000000"/>
                <w:spacing w:val="-10"/>
                <w:szCs w:val="21"/>
                <w:lang w:val="en-US" w:eastAsia="zh-CN"/>
              </w:rPr>
              <w:t>/OPRP</w:t>
            </w:r>
            <w:r>
              <w:rPr>
                <w:rFonts w:hint="eastAsia" w:ascii="宋体" w:hAnsi="宋体"/>
                <w:color w:val="000000"/>
                <w:spacing w:val="-10"/>
                <w:szCs w:val="21"/>
              </w:rPr>
              <w:t>的识别</w:t>
            </w:r>
          </w:p>
        </w:tc>
        <w:tc>
          <w:tcPr>
            <w:tcW w:w="4563" w:type="dxa"/>
            <w:gridSpan w:val="2"/>
            <w:shd w:val="clear" w:color="auto" w:fill="E6E0EC" w:themeFill="accent4" w:themeFillTint="32"/>
          </w:tcPr>
          <w:p>
            <w:pPr>
              <w:keepNext w:val="0"/>
              <w:keepLines w:val="0"/>
              <w:widowControl/>
              <w:suppressLineNumbers w:val="0"/>
              <w:jc w:val="left"/>
              <w:rPr>
                <w:rFonts w:hint="eastAsia"/>
                <w:sz w:val="21"/>
                <w:szCs w:val="21"/>
                <w:lang w:val="en-US" w:eastAsia="zh-CN"/>
              </w:rPr>
            </w:pPr>
            <w:r>
              <w:rPr>
                <w:rFonts w:hint="default"/>
                <w:sz w:val="21"/>
                <w:szCs w:val="21"/>
                <w:lang w:val="en-US" w:eastAsia="zh-CN"/>
              </w:rPr>
              <w:t>CCP1-1：蔬菜类原料 验收</w:t>
            </w:r>
            <w:r>
              <w:rPr>
                <w:rFonts w:hint="eastAsia"/>
                <w:sz w:val="21"/>
                <w:szCs w:val="21"/>
                <w:lang w:val="en-US" w:eastAsia="zh-CN"/>
              </w:rPr>
              <w:t>；</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CCP1-2：畜、禽类原料验收；</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CCP2：菜品热加工过程；</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CCP3:金属检测；</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CCP4：工器具消毒；</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
              </w:rPr>
              <w:t>OPRP1:</w:t>
            </w:r>
            <w:r>
              <w:rPr>
                <w:rFonts w:hint="default" w:ascii="Times New Roman" w:hAnsi="Times New Roman" w:eastAsia="宋体" w:cs="Times New Roman"/>
                <w:color w:val="000000"/>
                <w:kern w:val="0"/>
                <w:sz w:val="21"/>
                <w:szCs w:val="21"/>
                <w:lang w:val="en-US" w:eastAsia="zh-CN" w:bidi="ar"/>
              </w:rPr>
              <w:t>分餐</w:t>
            </w:r>
          </w:p>
          <w:p>
            <w:pPr>
              <w:pStyle w:val="2"/>
              <w:rPr>
                <w:rFonts w:hint="default"/>
                <w:lang w:val="en-US" w:eastAsia="zh-CN"/>
              </w:rPr>
            </w:pPr>
            <w:r>
              <w:rPr>
                <w:rFonts w:hint="eastAsia"/>
                <w:sz w:val="21"/>
                <w:szCs w:val="21"/>
                <w:lang w:val="en-US" w:eastAsia="zh-CN"/>
              </w:rPr>
              <w:t>OPRP2:配送</w:t>
            </w:r>
          </w:p>
        </w:tc>
        <w:tc>
          <w:tcPr>
            <w:tcW w:w="1063" w:type="dxa"/>
            <w:gridSpan w:val="2"/>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zCs w:val="21"/>
                <w:lang w:val="en-US" w:eastAsia="zh-CN"/>
              </w:rPr>
              <w:t>/行动准则</w:t>
            </w:r>
            <w:r>
              <w:rPr>
                <w:rFonts w:hint="eastAsia" w:ascii="宋体" w:hAnsi="宋体"/>
                <w:color w:val="000000"/>
                <w:spacing w:val="-10"/>
                <w:szCs w:val="21"/>
              </w:rPr>
              <w:t>的识别</w:t>
            </w:r>
          </w:p>
        </w:tc>
        <w:tc>
          <w:tcPr>
            <w:tcW w:w="4563" w:type="dxa"/>
            <w:gridSpan w:val="2"/>
            <w:shd w:val="clear" w:color="auto" w:fill="E6E0EC" w:themeFill="accent4" w:themeFillTint="32"/>
          </w:tcPr>
          <w:p>
            <w:pPr>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CCP1-1_CL：农残测试卡测试呈蓝色（阴性）</w:t>
            </w:r>
            <w:r>
              <w:rPr>
                <w:rFonts w:hint="eastAsia" w:ascii="宋体" w:hAnsi="宋体" w:cs="宋体"/>
                <w:color w:val="000000"/>
                <w:spacing w:val="-10"/>
                <w:sz w:val="21"/>
                <w:szCs w:val="21"/>
                <w:lang w:val="en-US" w:eastAsia="zh-CN"/>
              </w:rPr>
              <w:t>；</w:t>
            </w:r>
          </w:p>
          <w:p>
            <w:pPr>
              <w:pStyle w:val="2"/>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CCP1-2_CL</w:t>
            </w:r>
            <w:r>
              <w:rPr>
                <w:rFonts w:hint="eastAsia" w:ascii="宋体" w:hAnsi="宋体" w:cs="宋体"/>
                <w:color w:val="000000"/>
                <w:spacing w:val="-10"/>
                <w:sz w:val="21"/>
                <w:szCs w:val="21"/>
                <w:lang w:val="en-US" w:eastAsia="zh-CN"/>
              </w:rPr>
              <w:t>：</w:t>
            </w:r>
            <w:r>
              <w:rPr>
                <w:rFonts w:hint="eastAsia" w:ascii="宋体" w:hAnsi="宋体" w:eastAsia="宋体" w:cs="宋体"/>
                <w:color w:val="000000"/>
                <w:spacing w:val="-10"/>
                <w:sz w:val="21"/>
                <w:szCs w:val="21"/>
                <w:lang w:val="en-US" w:eastAsia="zh-CN"/>
              </w:rPr>
              <w:t>验证动检合格证明；</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pacing w:val="-10"/>
                <w:sz w:val="21"/>
                <w:szCs w:val="21"/>
                <w:lang w:val="en-US" w:eastAsia="zh-CN"/>
              </w:rPr>
              <w:t>CCP2_CL</w:t>
            </w:r>
            <w:r>
              <w:rPr>
                <w:rFonts w:hint="eastAsia" w:ascii="宋体" w:hAnsi="宋体" w:cs="宋体"/>
                <w:color w:val="000000"/>
                <w:spacing w:val="-10"/>
                <w:sz w:val="21"/>
                <w:szCs w:val="21"/>
                <w:lang w:val="en-US" w:eastAsia="zh-CN"/>
              </w:rPr>
              <w:t>：</w:t>
            </w:r>
            <w:r>
              <w:rPr>
                <w:rFonts w:hint="eastAsia" w:ascii="宋体" w:hAnsi="宋体" w:eastAsia="宋体" w:cs="宋体"/>
                <w:color w:val="000000"/>
                <w:kern w:val="0"/>
                <w:sz w:val="21"/>
                <w:szCs w:val="21"/>
                <w:lang w:val="en-US" w:eastAsia="zh-CN" w:bidi="ar"/>
              </w:rPr>
              <w:t>烧熟煮透，中心温度≥70℃</w:t>
            </w:r>
          </w:p>
          <w:p>
            <w:pPr>
              <w:pStyle w:val="2"/>
              <w:ind w:left="950" w:hanging="950" w:hangingChars="500"/>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CCP3_CL</w:t>
            </w:r>
            <w:r>
              <w:rPr>
                <w:rFonts w:hint="eastAsia" w:ascii="宋体" w:hAnsi="宋体" w:cs="宋体"/>
                <w:color w:val="000000"/>
                <w:spacing w:val="-10"/>
                <w:sz w:val="21"/>
                <w:szCs w:val="21"/>
                <w:lang w:val="en-US" w:eastAsia="zh-CN"/>
              </w:rPr>
              <w:t>：</w:t>
            </w:r>
            <w:r>
              <w:rPr>
                <w:rFonts w:hint="eastAsia" w:ascii="宋体" w:hAnsi="宋体" w:eastAsia="宋体" w:cs="宋体"/>
                <w:color w:val="000000"/>
                <w:spacing w:val="-10"/>
                <w:sz w:val="21"/>
                <w:szCs w:val="21"/>
                <w:lang w:val="en-US" w:eastAsia="zh-CN"/>
              </w:rPr>
              <w:t>铁Φ2.5mm，非铁Φ3.0mm ，不锈钢 Φ 3.0mm 通过能检出</w:t>
            </w:r>
            <w:r>
              <w:rPr>
                <w:rFonts w:hint="eastAsia" w:ascii="宋体" w:hAnsi="宋体" w:cs="宋体"/>
                <w:color w:val="000000"/>
                <w:spacing w:val="-10"/>
                <w:sz w:val="21"/>
                <w:szCs w:val="21"/>
                <w:lang w:val="en-US" w:eastAsia="zh-CN"/>
              </w:rPr>
              <w:t>；</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pacing w:val="-10"/>
                <w:sz w:val="21"/>
                <w:szCs w:val="21"/>
                <w:lang w:val="en-US" w:eastAsia="zh-CN"/>
              </w:rPr>
              <w:t>CCP4_CL</w:t>
            </w:r>
            <w:r>
              <w:rPr>
                <w:rFonts w:hint="eastAsia" w:ascii="宋体" w:hAnsi="宋体" w:cs="宋体"/>
                <w:color w:val="000000"/>
                <w:spacing w:val="-10"/>
                <w:sz w:val="21"/>
                <w:szCs w:val="21"/>
                <w:lang w:val="en-US" w:eastAsia="zh-CN"/>
              </w:rPr>
              <w:t>：</w:t>
            </w:r>
            <w:r>
              <w:rPr>
                <w:rFonts w:hint="eastAsia" w:ascii="宋体" w:hAnsi="宋体" w:eastAsia="宋体" w:cs="宋体"/>
                <w:color w:val="000000"/>
                <w:kern w:val="0"/>
                <w:sz w:val="21"/>
                <w:szCs w:val="21"/>
                <w:lang w:val="en-US" w:eastAsia="zh-CN" w:bidi="ar"/>
              </w:rPr>
              <w:t>冷消毒</w:t>
            </w:r>
            <w:r>
              <w:rPr>
                <w:rFonts w:hint="eastAsia" w:ascii="宋体" w:hAnsi="宋体" w:cs="宋体"/>
                <w:color w:val="000000"/>
                <w:kern w:val="0"/>
                <w:sz w:val="21"/>
                <w:szCs w:val="21"/>
                <w:lang w:val="en-US" w:eastAsia="zh-CN" w:bidi="ar"/>
              </w:rPr>
              <w:t>：84消毒液：水的比例为</w:t>
            </w:r>
            <w:r>
              <w:rPr>
                <w:rFonts w:hint="eastAsia" w:ascii="宋体" w:hAnsi="宋体" w:eastAsia="宋体" w:cs="宋体"/>
                <w:color w:val="000000"/>
                <w:kern w:val="0"/>
                <w:sz w:val="21"/>
                <w:szCs w:val="21"/>
                <w:lang w:val="en-US" w:eastAsia="zh-CN" w:bidi="ar"/>
              </w:rPr>
              <w:t>1:200</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液浸泡20分钟消毒</w:t>
            </w:r>
            <w:r>
              <w:rPr>
                <w:rFonts w:hint="eastAsia" w:ascii="宋体" w:hAnsi="宋体" w:cs="宋体"/>
                <w:color w:val="000000"/>
                <w:kern w:val="0"/>
                <w:sz w:val="21"/>
                <w:szCs w:val="21"/>
                <w:lang w:val="en-US" w:eastAsia="zh-CN" w:bidi="ar"/>
              </w:rPr>
              <w:t>或</w:t>
            </w:r>
            <w:r>
              <w:rPr>
                <w:rFonts w:hint="eastAsia" w:ascii="宋体" w:hAnsi="宋体" w:eastAsia="宋体" w:cs="宋体"/>
                <w:color w:val="000000"/>
                <w:kern w:val="0"/>
                <w:sz w:val="21"/>
                <w:szCs w:val="21"/>
                <w:lang w:val="en-US" w:eastAsia="zh-CN" w:bidi="ar"/>
              </w:rPr>
              <w:t>热消毒：消毒温度120℃</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消毒时间20分钟</w:t>
            </w:r>
          </w:p>
          <w:p>
            <w:pPr>
              <w:keepNext w:val="0"/>
              <w:keepLines w:val="0"/>
              <w:widowControl/>
              <w:suppressLineNumbers w:val="0"/>
              <w:jc w:val="left"/>
              <w:rPr>
                <w:rFonts w:hint="default" w:ascii="Times New Roman" w:hAnsi="Times New Roman" w:cs="Times New Roman"/>
                <w:sz w:val="21"/>
                <w:szCs w:val="21"/>
                <w:lang w:val="en-US"/>
              </w:rPr>
            </w:pPr>
            <w:r>
              <w:rPr>
                <w:rFonts w:hint="default" w:ascii="Times New Roman" w:hAnsi="Times New Roman" w:cs="Times New Roman"/>
                <w:color w:val="000000"/>
                <w:kern w:val="0"/>
                <w:sz w:val="21"/>
                <w:szCs w:val="21"/>
                <w:lang w:val="en-US" w:eastAsia="zh-CN" w:bidi="ar"/>
              </w:rPr>
              <w:t>OPRP1</w:t>
            </w:r>
            <w:r>
              <w:rPr>
                <w:rFonts w:hint="eastAsia" w:ascii="Times New Roman" w:hAnsi="Times New Roman" w:cs="Times New Roman"/>
                <w:color w:val="000000"/>
                <w:kern w:val="0"/>
                <w:sz w:val="21"/>
                <w:szCs w:val="21"/>
                <w:lang w:val="en-US" w:eastAsia="zh-CN" w:bidi="ar"/>
              </w:rPr>
              <w:t>——行动准则，识别不准确，见问题清单</w:t>
            </w:r>
          </w:p>
          <w:p>
            <w:pPr>
              <w:rPr>
                <w:rFonts w:hint="default" w:ascii="宋体" w:eastAsia="宋体"/>
                <w:color w:val="000000"/>
                <w:spacing w:val="-10"/>
                <w:szCs w:val="21"/>
                <w:lang w:val="en-US" w:eastAsia="zh-CN"/>
              </w:rPr>
            </w:pPr>
            <w:r>
              <w:rPr>
                <w:rFonts w:hint="eastAsia"/>
                <w:sz w:val="21"/>
                <w:szCs w:val="21"/>
                <w:lang w:val="en-US" w:eastAsia="zh-CN"/>
              </w:rPr>
              <w:t>OPRP2——行动准则：未明确配送时间及温度，</w:t>
            </w:r>
            <w:r>
              <w:rPr>
                <w:rFonts w:hint="eastAsia" w:ascii="Times New Roman" w:hAnsi="Times New Roman" w:cs="Times New Roman"/>
                <w:color w:val="000000"/>
                <w:kern w:val="0"/>
                <w:sz w:val="21"/>
                <w:szCs w:val="21"/>
                <w:lang w:val="en-US" w:eastAsia="zh-CN" w:bidi="ar"/>
              </w:rPr>
              <w:t>见问题清单</w:t>
            </w:r>
            <w:r>
              <w:rPr>
                <w:rFonts w:hint="eastAsia"/>
                <w:sz w:val="21"/>
                <w:szCs w:val="21"/>
                <w:lang w:val="en-US" w:eastAsia="zh-CN"/>
              </w:rPr>
              <w:t>。</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0" w:type="dxa"/>
            <w:gridSpan w:val="2"/>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gridSpan w:val="2"/>
            <w:shd w:val="clear" w:color="auto" w:fill="E6E0EC" w:themeFill="accent4" w:themeFillTint="32"/>
          </w:tcPr>
          <w:p>
            <w:pPr>
              <w:rPr>
                <w:rFonts w:ascii="宋体"/>
                <w:color w:val="000000"/>
                <w:spacing w:val="-10"/>
                <w:szCs w:val="21"/>
              </w:rPr>
            </w:pPr>
            <w:r>
              <w:rPr>
                <w:rFonts w:hint="eastAsia" w:ascii="宋体"/>
                <w:color w:val="000000"/>
                <w:spacing w:val="-10"/>
                <w:szCs w:val="21"/>
              </w:rPr>
              <w:t>第三方检测、虫鼠害控制和垃圾清运、油烟机清理</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500" w:type="dxa"/>
            <w:gridSpan w:val="2"/>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gridSpan w:val="2"/>
            <w:shd w:val="clear" w:color="auto" w:fill="E6E0EC" w:themeFill="accent4"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不使用</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gridSpan w:val="2"/>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gridSpan w:val="2"/>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gridSpan w:val="2"/>
            <w:shd w:val="clear" w:color="auto" w:fill="E6E0EC" w:themeFill="accent4" w:themeFillTint="32"/>
          </w:tcPr>
          <w:p>
            <w:pPr>
              <w:rPr>
                <w:rFonts w:ascii="宋体"/>
                <w:color w:val="000000"/>
                <w:szCs w:val="21"/>
              </w:rPr>
            </w:pPr>
            <w:r>
              <w:rPr>
                <w:rFonts w:hint="eastAsia" w:ascii="宋体"/>
                <w:color w:val="000000"/>
                <w:szCs w:val="21"/>
              </w:rPr>
              <w:t>是否满足产品检测的需要</w:t>
            </w:r>
          </w:p>
        </w:tc>
        <w:tc>
          <w:tcPr>
            <w:tcW w:w="1063" w:type="dxa"/>
            <w:gridSpan w:val="2"/>
            <w:shd w:val="clear" w:color="auto" w:fill="E6E0EC" w:themeFill="accent4"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gridSpan w:val="2"/>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gridSpan w:val="2"/>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8"/>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产品食品安全标准</w:t>
            </w:r>
          </w:p>
        </w:tc>
        <w:tc>
          <w:tcPr>
            <w:tcW w:w="10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gridSpan w:val="2"/>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continue"/>
            <w:shd w:val="clear" w:color="auto" w:fill="E6E0EC" w:themeFill="accent4" w:themeFillTint="32"/>
          </w:tcPr>
          <w:p>
            <w:pPr>
              <w:ind w:left="-1" w:leftChars="-1" w:hanging="1"/>
              <w:jc w:val="left"/>
              <w:rPr>
                <w:rFonts w:ascii="宋体"/>
                <w:color w:val="000000"/>
                <w:szCs w:val="21"/>
              </w:rPr>
            </w:pPr>
          </w:p>
        </w:tc>
        <w:tc>
          <w:tcPr>
            <w:tcW w:w="4563" w:type="dxa"/>
            <w:gridSpan w:val="2"/>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gridSpan w:val="2"/>
            <w:vMerge w:val="continue"/>
            <w:shd w:val="clear" w:color="auto" w:fill="E6E0EC" w:themeFill="accent4" w:themeFillTint="32"/>
          </w:tcPr>
          <w:p>
            <w:pPr>
              <w:ind w:left="-1" w:leftChars="-1" w:hanging="1"/>
              <w:jc w:val="left"/>
              <w:rPr>
                <w:rFonts w:ascii="宋体"/>
                <w:color w:val="000000"/>
                <w:szCs w:val="21"/>
              </w:rPr>
            </w:pPr>
          </w:p>
        </w:tc>
        <w:tc>
          <w:tcPr>
            <w:tcW w:w="4563"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gridSpan w:val="2"/>
            <w:shd w:val="clear" w:color="auto" w:fill="E6E0EC" w:themeFill="accent4"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ind w:left="168" w:leftChars="80"/>
              <w:rPr>
                <w:rFonts w:ascii="宋体"/>
                <w:color w:val="000000"/>
                <w:spacing w:val="-10"/>
                <w:szCs w:val="21"/>
              </w:rPr>
            </w:pPr>
          </w:p>
        </w:tc>
        <w:tc>
          <w:tcPr>
            <w:tcW w:w="4563" w:type="dxa"/>
            <w:gridSpan w:val="2"/>
            <w:shd w:val="clear" w:color="auto" w:fill="E6E0EC" w:themeFill="accent4" w:themeFillTint="32"/>
          </w:tcPr>
          <w:p>
            <w:pPr>
              <w:rPr>
                <w:rFonts w:ascii="宋体"/>
                <w:color w:val="000000"/>
                <w:spacing w:val="-10"/>
                <w:szCs w:val="21"/>
              </w:rPr>
            </w:pPr>
            <w:r>
              <w:rPr>
                <w:rFonts w:hint="eastAsia" w:ascii="宋体"/>
                <w:color w:val="000000"/>
                <w:szCs w:val="21"/>
              </w:rPr>
              <w:t>是否因食品安全问题受到媒体的曝光</w:t>
            </w:r>
          </w:p>
        </w:tc>
        <w:tc>
          <w:tcPr>
            <w:tcW w:w="1063" w:type="dxa"/>
            <w:gridSpan w:val="2"/>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rPr>
                <w:szCs w:val="21"/>
              </w:rPr>
            </w:pPr>
          </w:p>
        </w:tc>
        <w:tc>
          <w:tcPr>
            <w:tcW w:w="45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是否发生了食品安全事故/召回</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vMerge w:val="continue"/>
            <w:shd w:val="clear" w:color="auto" w:fill="E6E0EC" w:themeFill="accent4" w:themeFillTint="32"/>
          </w:tcPr>
          <w:p>
            <w:pPr>
              <w:rPr>
                <w:rFonts w:ascii="宋体" w:hAnsi="宋体"/>
                <w:color w:val="000000"/>
                <w:szCs w:val="21"/>
              </w:rPr>
            </w:pPr>
          </w:p>
        </w:tc>
        <w:tc>
          <w:tcPr>
            <w:tcW w:w="45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是否有重大顾客投诉</w:t>
            </w:r>
          </w:p>
        </w:tc>
        <w:tc>
          <w:tcPr>
            <w:tcW w:w="1063"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gridSpan w:val="2"/>
            <w:shd w:val="clear" w:color="auto" w:fill="E6E0EC" w:themeFill="accent4"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gridSpan w:val="2"/>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6"/>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hint="default" w:ascii="宋体" w:hAnsi="宋体" w:eastAsia="宋体"/>
                <w:b/>
                <w:color w:val="000000"/>
                <w:sz w:val="20"/>
                <w:szCs w:val="20"/>
                <w:lang w:val="en-US" w:eastAsia="zh-CN"/>
              </w:rPr>
            </w:pPr>
            <w:r>
              <w:rPr>
                <w:rFonts w:hint="eastAsia" w:ascii="宋体" w:hAnsi="宋体"/>
                <w:b/>
                <w:color w:val="000000"/>
                <w:sz w:val="20"/>
                <w:szCs w:val="20"/>
              </w:rPr>
              <w:t>其他：</w:t>
            </w:r>
            <w:r>
              <w:rPr>
                <w:rFonts w:hint="eastAsia" w:ascii="宋体" w:hAnsi="宋体"/>
                <w:b/>
                <w:color w:val="000000"/>
                <w:sz w:val="20"/>
                <w:szCs w:val="20"/>
                <w:lang w:val="en-US" w:eastAsia="zh-CN"/>
              </w:rPr>
              <w:t>运输配送</w:t>
            </w:r>
          </w:p>
        </w:tc>
      </w:tr>
    </w:tbl>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5164"/>
        <w:gridCol w:w="99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507" w:hRule="exact"/>
        </w:trPr>
        <w:tc>
          <w:tcPr>
            <w:tcW w:w="9763" w:type="dxa"/>
            <w:gridSpan w:val="4"/>
            <w:shd w:val="clear" w:color="auto" w:fill="8DB3E2" w:themeFill="text2" w:themeFillTint="66"/>
            <w:vAlign w:val="center"/>
          </w:tcPr>
          <w:p>
            <w:pPr>
              <w:spacing w:before="40" w:after="40"/>
              <w:rPr>
                <w:rFonts w:eastAsia="黑体"/>
                <w:b/>
                <w:color w:val="0000FF"/>
                <w:szCs w:val="21"/>
              </w:rPr>
            </w:pPr>
            <w:r>
              <w:rPr>
                <w:rFonts w:hint="eastAsia" w:ascii="宋体" w:hAnsi="宋体"/>
                <w:b/>
                <w:sz w:val="20"/>
                <w:szCs w:val="20"/>
              </w:rPr>
              <w:sym w:font="Wingdings 2" w:char="0052"/>
            </w:r>
            <w:r>
              <w:rPr>
                <w:rFonts w:hint="eastAsia" w:ascii="宋体" w:hAnsi="宋体"/>
                <w:b/>
                <w:sz w:val="20"/>
                <w:szCs w:val="20"/>
              </w:rPr>
              <w:t>《危害分析与关键控制点（HACCP体系）认证要求》（V1.0）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992"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w:t>
            </w:r>
            <w:r>
              <w:rPr>
                <w:rFonts w:ascii="宋体" w:hAnsi="宋体" w:eastAsia="宋体"/>
                <w:b w:val="0"/>
                <w:bCs/>
                <w:sz w:val="20"/>
                <w:lang w:val="en-GB" w:eastAsia="zh-CN"/>
              </w:rPr>
              <w:t>GHP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w:t>
            </w:r>
            <w:r>
              <w:rPr>
                <w:rFonts w:hint="eastAsia" w:ascii="宋体" w:hAnsi="宋体" w:eastAsia="宋体"/>
                <w:b w:val="0"/>
                <w:bCs/>
                <w:sz w:val="20"/>
                <w:lang w:val="en-US" w:eastAsia="zh-CN"/>
              </w:rPr>
              <w:t>SSOP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r>
              <w:rPr>
                <w:rFonts w:hint="eastAsia" w:ascii="宋体" w:hAnsi="宋体" w:eastAsia="宋体"/>
                <w:b w:val="0"/>
                <w:bCs/>
                <w:sz w:val="20"/>
                <w:lang w:val="en-US" w:eastAsia="zh-CN"/>
              </w:rPr>
              <w:t>不适用</w:t>
            </w:r>
            <w:r>
              <w:rPr>
                <w:rFonts w:hint="eastAsia" w:ascii="宋体" w:hAnsi="宋体" w:eastAsia="宋体"/>
                <w:b w:val="0"/>
                <w:bCs/>
                <w:sz w:val="20"/>
                <w:lang w:val="en-GB" w:eastAsia="zh-CN"/>
              </w:rPr>
              <w:t>）</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w:t>
            </w:r>
            <w:r>
              <w:rPr>
                <w:rFonts w:ascii="宋体" w:hAnsi="宋体" w:eastAsia="宋体"/>
                <w:b w:val="0"/>
                <w:bCs/>
                <w:sz w:val="20"/>
                <w:lang w:val="en-GB" w:eastAsia="zh-CN"/>
              </w:rPr>
              <w:t>HACCP</w:t>
            </w:r>
            <w:r>
              <w:rPr>
                <w:rFonts w:hint="eastAsia" w:ascii="宋体" w:hAnsi="宋体" w:eastAsia="宋体"/>
                <w:b w:val="0"/>
                <w:bCs/>
                <w:sz w:val="20"/>
                <w:lang w:val="en-GB" w:eastAsia="zh-CN"/>
              </w:rPr>
              <w:t>知识的培训</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w:t>
            </w:r>
            <w:r>
              <w:rPr>
                <w:rFonts w:ascii="宋体" w:hAnsi="宋体" w:eastAsia="宋体"/>
                <w:b w:val="0"/>
                <w:bCs/>
                <w:sz w:val="20"/>
                <w:lang w:val="en-GB" w:eastAsia="zh-CN"/>
              </w:rPr>
              <w:t>HACCP</w:t>
            </w:r>
            <w:r>
              <w:rPr>
                <w:rFonts w:hint="eastAsia" w:ascii="宋体" w:hAnsi="宋体" w:eastAsia="宋体"/>
                <w:b w:val="0"/>
                <w:bCs/>
                <w:sz w:val="20"/>
                <w:lang w:val="en-GB" w:eastAsia="zh-CN"/>
              </w:rPr>
              <w:t>实施规则被认证机构撤销认证证书</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hint="eastAsia" w:ascii="宋体" w:hAnsi="宋体" w:eastAsia="宋体" w:cs="Times New Roman"/>
                <w:color w:val="000000"/>
                <w:szCs w:val="21"/>
              </w:rPr>
            </w:pPr>
            <w:r>
              <w:rPr>
                <w:rFonts w:hint="eastAsia" w:ascii="宋体" w:hAnsi="宋体" w:eastAsia="宋体" w:cs="Times New Roman"/>
                <w:color w:val="000000"/>
                <w:szCs w:val="21"/>
              </w:rPr>
              <w:t>关键控制点（CCP）的识别</w:t>
            </w:r>
          </w:p>
        </w:tc>
        <w:tc>
          <w:tcPr>
            <w:tcW w:w="5164" w:type="dxa"/>
            <w:shd w:val="clear" w:color="auto" w:fill="8DB3E2" w:themeFill="text2" w:themeFillTint="66"/>
          </w:tcPr>
          <w:p>
            <w:pPr>
              <w:keepNext w:val="0"/>
              <w:keepLines w:val="0"/>
              <w:widowControl/>
              <w:suppressLineNumbers w:val="0"/>
              <w:jc w:val="left"/>
              <w:rPr>
                <w:rFonts w:hint="eastAsia"/>
                <w:sz w:val="21"/>
                <w:szCs w:val="21"/>
                <w:lang w:val="en-US" w:eastAsia="zh-CN"/>
              </w:rPr>
            </w:pPr>
            <w:r>
              <w:rPr>
                <w:rFonts w:hint="default"/>
                <w:sz w:val="21"/>
                <w:szCs w:val="21"/>
                <w:lang w:val="en-US" w:eastAsia="zh-CN"/>
              </w:rPr>
              <w:t>CCP1-1：蔬菜类原料 验收</w:t>
            </w:r>
            <w:r>
              <w:rPr>
                <w:rFonts w:hint="eastAsia"/>
                <w:sz w:val="21"/>
                <w:szCs w:val="21"/>
                <w:lang w:val="en-US" w:eastAsia="zh-CN"/>
              </w:rPr>
              <w:t>;</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CCP1-2：畜、禽类原料验收;</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CCP2：菜品热加工过程;</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CCP3:金属检测;</w:t>
            </w:r>
          </w:p>
          <w:p>
            <w:pPr>
              <w:keepNext w:val="0"/>
              <w:keepLines w:val="0"/>
              <w:widowControl/>
              <w:suppressLineNumbers w:val="0"/>
              <w:jc w:val="left"/>
              <w:rPr>
                <w:rFonts w:hint="eastAsia" w:ascii="宋体" w:hAnsi="宋体" w:eastAsia="宋体" w:cs="Times New Roman"/>
                <w:color w:val="000000"/>
                <w:szCs w:val="21"/>
              </w:rPr>
            </w:pPr>
            <w:r>
              <w:rPr>
                <w:rFonts w:hint="eastAsia"/>
                <w:sz w:val="21"/>
                <w:szCs w:val="21"/>
                <w:lang w:val="en-US" w:eastAsia="zh-CN"/>
              </w:rPr>
              <w:t>CCP4：工器具消毒;</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关键限值（CL）的识别</w:t>
            </w:r>
          </w:p>
        </w:tc>
        <w:tc>
          <w:tcPr>
            <w:tcW w:w="5164" w:type="dxa"/>
            <w:shd w:val="clear" w:color="auto" w:fill="8DB3E2" w:themeFill="text2" w:themeFillTint="66"/>
          </w:tcPr>
          <w:p>
            <w:pPr>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CCP1-1_CL：农残测试卡测试呈蓝色（阴性）</w:t>
            </w:r>
          </w:p>
          <w:p>
            <w:pPr>
              <w:pStyle w:val="2"/>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CCP1-2_CL</w:t>
            </w:r>
            <w:r>
              <w:rPr>
                <w:rFonts w:hint="eastAsia" w:ascii="宋体" w:hAnsi="宋体" w:cs="宋体"/>
                <w:color w:val="000000"/>
                <w:spacing w:val="-10"/>
                <w:sz w:val="21"/>
                <w:szCs w:val="21"/>
                <w:lang w:val="en-US" w:eastAsia="zh-CN"/>
              </w:rPr>
              <w:t>：</w:t>
            </w:r>
            <w:r>
              <w:rPr>
                <w:rFonts w:hint="eastAsia" w:ascii="宋体" w:hAnsi="宋体" w:eastAsia="宋体" w:cs="宋体"/>
                <w:color w:val="000000"/>
                <w:spacing w:val="-10"/>
                <w:sz w:val="21"/>
                <w:szCs w:val="21"/>
                <w:lang w:val="en-US" w:eastAsia="zh-CN"/>
              </w:rPr>
              <w:t>验证动检合格证明；</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pacing w:val="-10"/>
                <w:sz w:val="21"/>
                <w:szCs w:val="21"/>
                <w:lang w:val="en-US" w:eastAsia="zh-CN"/>
              </w:rPr>
              <w:t>CCP2_CL</w:t>
            </w:r>
            <w:r>
              <w:rPr>
                <w:rFonts w:hint="eastAsia" w:ascii="宋体" w:hAnsi="宋体" w:cs="宋体"/>
                <w:color w:val="000000"/>
                <w:spacing w:val="-10"/>
                <w:sz w:val="21"/>
                <w:szCs w:val="21"/>
                <w:lang w:val="en-US" w:eastAsia="zh-CN"/>
              </w:rPr>
              <w:t>：</w:t>
            </w:r>
            <w:r>
              <w:rPr>
                <w:rFonts w:hint="eastAsia" w:ascii="宋体" w:hAnsi="宋体" w:eastAsia="宋体" w:cs="宋体"/>
                <w:color w:val="000000"/>
                <w:kern w:val="0"/>
                <w:sz w:val="21"/>
                <w:szCs w:val="21"/>
                <w:lang w:val="en-US" w:eastAsia="zh-CN" w:bidi="ar"/>
              </w:rPr>
              <w:t>烧熟煮透，中心温度≥70℃</w:t>
            </w:r>
          </w:p>
          <w:p>
            <w:pPr>
              <w:pStyle w:val="2"/>
              <w:ind w:left="950" w:hanging="950" w:hangingChars="500"/>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CCP3_CL</w:t>
            </w:r>
            <w:r>
              <w:rPr>
                <w:rFonts w:hint="eastAsia" w:ascii="宋体" w:hAnsi="宋体" w:cs="宋体"/>
                <w:color w:val="000000"/>
                <w:spacing w:val="-10"/>
                <w:sz w:val="21"/>
                <w:szCs w:val="21"/>
                <w:lang w:val="en-US" w:eastAsia="zh-CN"/>
              </w:rPr>
              <w:t>：</w:t>
            </w:r>
            <w:r>
              <w:rPr>
                <w:rFonts w:hint="eastAsia" w:ascii="宋体" w:hAnsi="宋体" w:eastAsia="宋体" w:cs="宋体"/>
                <w:color w:val="000000"/>
                <w:spacing w:val="-10"/>
                <w:sz w:val="21"/>
                <w:szCs w:val="21"/>
                <w:lang w:val="en-US" w:eastAsia="zh-CN"/>
              </w:rPr>
              <w:t>铁Φ2.5mm，非铁Φ3.0mm ，不锈钢 Φ 3.0mm 通</w:t>
            </w:r>
          </w:p>
          <w:p>
            <w:pPr>
              <w:pStyle w:val="2"/>
              <w:ind w:firstLine="760" w:firstLineChars="400"/>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过能检出;</w:t>
            </w:r>
          </w:p>
          <w:p>
            <w:pPr>
              <w:keepNext w:val="0"/>
              <w:keepLines w:val="0"/>
              <w:widowControl/>
              <w:suppressLineNumbers w:val="0"/>
              <w:ind w:left="760" w:hanging="760" w:hangingChars="400"/>
              <w:jc w:val="left"/>
              <w:rPr>
                <w:rFonts w:hint="eastAsia" w:ascii="宋体" w:hAnsi="宋体" w:eastAsia="宋体" w:cs="Times New Roman"/>
                <w:color w:val="000000"/>
                <w:szCs w:val="21"/>
              </w:rPr>
            </w:pPr>
            <w:r>
              <w:rPr>
                <w:rFonts w:hint="eastAsia" w:ascii="宋体" w:hAnsi="宋体" w:eastAsia="宋体" w:cs="宋体"/>
                <w:color w:val="000000"/>
                <w:spacing w:val="-10"/>
                <w:sz w:val="21"/>
                <w:szCs w:val="21"/>
                <w:lang w:val="en-US" w:eastAsia="zh-CN"/>
              </w:rPr>
              <w:t>CCP4_CL</w:t>
            </w:r>
            <w:r>
              <w:rPr>
                <w:rFonts w:hint="eastAsia" w:ascii="宋体" w:hAnsi="宋体" w:cs="宋体"/>
                <w:color w:val="000000"/>
                <w:spacing w:val="-10"/>
                <w:sz w:val="21"/>
                <w:szCs w:val="21"/>
                <w:lang w:val="en-US" w:eastAsia="zh-CN"/>
              </w:rPr>
              <w:t>：</w:t>
            </w:r>
            <w:r>
              <w:rPr>
                <w:rFonts w:hint="eastAsia" w:ascii="宋体" w:hAnsi="宋体" w:eastAsia="宋体" w:cs="宋体"/>
                <w:color w:val="000000"/>
                <w:kern w:val="0"/>
                <w:sz w:val="21"/>
                <w:szCs w:val="21"/>
                <w:lang w:val="en-US" w:eastAsia="zh-CN" w:bidi="ar"/>
              </w:rPr>
              <w:t>冷消毒</w:t>
            </w:r>
            <w:r>
              <w:rPr>
                <w:rFonts w:hint="eastAsia" w:ascii="宋体" w:hAnsi="宋体" w:cs="宋体"/>
                <w:color w:val="000000"/>
                <w:kern w:val="0"/>
                <w:sz w:val="21"/>
                <w:szCs w:val="21"/>
                <w:lang w:val="en-US" w:eastAsia="zh-CN" w:bidi="ar"/>
              </w:rPr>
              <w:t>：84消毒液：水的比例为</w:t>
            </w:r>
            <w:r>
              <w:rPr>
                <w:rFonts w:hint="eastAsia" w:ascii="宋体" w:hAnsi="宋体" w:eastAsia="宋体" w:cs="宋体"/>
                <w:color w:val="000000"/>
                <w:kern w:val="0"/>
                <w:sz w:val="21"/>
                <w:szCs w:val="21"/>
                <w:lang w:val="en-US" w:eastAsia="zh-CN" w:bidi="ar"/>
              </w:rPr>
              <w:t>1:200</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液浸泡20分钟消毒</w:t>
            </w:r>
            <w:r>
              <w:rPr>
                <w:rFonts w:hint="eastAsia" w:ascii="宋体" w:hAnsi="宋体" w:cs="宋体"/>
                <w:color w:val="000000"/>
                <w:kern w:val="0"/>
                <w:sz w:val="21"/>
                <w:szCs w:val="21"/>
                <w:lang w:val="en-US" w:eastAsia="zh-CN" w:bidi="ar"/>
              </w:rPr>
              <w:t>或</w:t>
            </w:r>
            <w:r>
              <w:rPr>
                <w:rFonts w:hint="eastAsia" w:ascii="宋体" w:hAnsi="宋体" w:eastAsia="宋体" w:cs="宋体"/>
                <w:color w:val="000000"/>
                <w:kern w:val="0"/>
                <w:sz w:val="21"/>
                <w:szCs w:val="21"/>
                <w:lang w:val="en-US" w:eastAsia="zh-CN" w:bidi="ar"/>
              </w:rPr>
              <w:t>热消毒：消毒温度120℃</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消毒时间20分钟</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外包过程的识别</w:t>
            </w:r>
          </w:p>
        </w:tc>
        <w:tc>
          <w:tcPr>
            <w:tcW w:w="5164" w:type="dxa"/>
            <w:shd w:val="clear" w:color="auto" w:fill="8DB3E2" w:themeFill="text2" w:themeFillTint="66"/>
          </w:tcPr>
          <w:p>
            <w:pPr>
              <w:rPr>
                <w:rFonts w:hint="eastAsia" w:ascii="宋体" w:hAnsi="宋体" w:eastAsia="宋体" w:cs="Times New Roman"/>
                <w:color w:val="000000"/>
                <w:szCs w:val="21"/>
              </w:rPr>
            </w:pPr>
            <w:r>
              <w:rPr>
                <w:rFonts w:hint="eastAsia" w:ascii="宋体"/>
                <w:color w:val="000000"/>
                <w:spacing w:val="-10"/>
                <w:szCs w:val="21"/>
              </w:rPr>
              <w:t>第三方检测、虫鼠害控制和垃圾清运、油烟机清理</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lang w:val="en-GB"/>
              </w:rPr>
              <w:t>食品添加剂使用的类别</w:t>
            </w:r>
          </w:p>
        </w:tc>
        <w:tc>
          <w:tcPr>
            <w:tcW w:w="5164" w:type="dxa"/>
            <w:shd w:val="clear" w:color="auto" w:fill="8DB3E2" w:themeFill="text2" w:themeFillTint="66"/>
          </w:tcPr>
          <w:p>
            <w:pPr>
              <w:rPr>
                <w:rFonts w:hint="eastAsia"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不使用</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107" w:type="dxa"/>
            <w:shd w:val="clear" w:color="auto" w:fill="8DB3E2" w:themeFill="text2" w:themeFillTint="66"/>
          </w:tcPr>
          <w:p>
            <w:pPr>
              <w:rPr>
                <w:rFonts w:ascii="宋体" w:hAnsi="宋体"/>
                <w:color w:val="000000"/>
                <w:szCs w:val="21"/>
              </w:rPr>
            </w:pPr>
            <w:r>
              <w:rPr>
                <w:rFonts w:hint="eastAsia" w:ascii="宋体" w:hAnsi="宋体"/>
                <w:color w:val="auto"/>
                <w:szCs w:val="21"/>
                <w:highlight w:val="none"/>
              </w:rPr>
              <w:sym w:font="Wingdings 2" w:char="00A3"/>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r>
              <w:rPr>
                <w:rFonts w:hint="eastAsia" w:ascii="宋体" w:hAnsi="宋体"/>
                <w:color w:val="000000"/>
                <w:szCs w:val="21"/>
              </w:rPr>
              <w:t xml:space="preserve">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5164" w:type="dxa"/>
            <w:shd w:val="clear" w:color="auto" w:fill="8DB3E2" w:themeFill="text2" w:themeFillTint="66"/>
          </w:tcPr>
          <w:p>
            <w:pPr>
              <w:rPr>
                <w:rFonts w:ascii="宋体"/>
                <w:color w:val="000000"/>
                <w:szCs w:val="21"/>
              </w:rPr>
            </w:pPr>
            <w:r>
              <w:rPr>
                <w:rFonts w:hint="eastAsia" w:ascii="宋体"/>
                <w:color w:val="000000"/>
                <w:szCs w:val="21"/>
              </w:rPr>
              <w:t xml:space="preserve">是否满足产品检测的需要               </w:t>
            </w:r>
          </w:p>
        </w:tc>
        <w:tc>
          <w:tcPr>
            <w:tcW w:w="992" w:type="dxa"/>
            <w:shd w:val="clear" w:color="auto" w:fill="8DB3E2" w:themeFill="text2" w:themeFillTint="66"/>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产品食品安全标准  </w:t>
            </w:r>
            <w:r>
              <w:rPr>
                <w:rFonts w:hint="eastAsia" w:ascii="宋体" w:hAnsi="宋体"/>
                <w:color w:val="000000"/>
                <w:spacing w:val="-10"/>
                <w:szCs w:val="21"/>
              </w:rPr>
              <w:sym w:font="Wingdings 2" w:char="0052"/>
            </w:r>
            <w:r>
              <w:rPr>
                <w:rFonts w:hint="eastAsia" w:ascii="宋体" w:hAnsi="宋体"/>
                <w:color w:val="000000"/>
                <w:spacing w:val="-10"/>
                <w:szCs w:val="21"/>
              </w:rPr>
              <w:t>地方标准</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992"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5164"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hint="default" w:ascii="宋体" w:hAnsi="宋体" w:eastAsia="宋体"/>
                <w:color w:val="000000"/>
                <w:spacing w:val="-10"/>
                <w:szCs w:val="21"/>
                <w:lang w:val="en-US" w:eastAsia="zh-CN"/>
              </w:rPr>
            </w:pPr>
            <w:r>
              <w:rPr>
                <w:rFonts w:hint="eastAsia" w:ascii="宋体" w:hAnsi="宋体"/>
                <w:color w:val="000000"/>
                <w:spacing w:val="-1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5164"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5164"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5164"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5164"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w:t>
            </w:r>
            <w:r>
              <w:rPr>
                <w:rFonts w:hint="eastAsia" w:ascii="宋体" w:hAnsi="宋体"/>
                <w:b/>
                <w:color w:val="000000"/>
                <w:sz w:val="20"/>
                <w:szCs w:val="20"/>
                <w:lang w:val="en-US" w:eastAsia="zh-CN"/>
              </w:rPr>
              <w:t>配送</w:t>
            </w:r>
            <w:r>
              <w:rPr>
                <w:rFonts w:hint="eastAsia" w:ascii="宋体" w:hAnsi="宋体"/>
                <w:b/>
                <w:color w:val="000000"/>
                <w:sz w:val="20"/>
                <w:szCs w:val="20"/>
              </w:rPr>
              <w:t>过程</w:t>
            </w:r>
          </w:p>
        </w:tc>
      </w:tr>
    </w:tbl>
    <w:p>
      <w:pPr>
        <w:pStyle w:val="2"/>
        <w:rPr>
          <w:rFonts w:ascii="宋体"/>
          <w:b/>
          <w:color w:val="000000"/>
          <w:szCs w:val="21"/>
        </w:rPr>
      </w:pPr>
    </w:p>
    <w:p>
      <w:pPr>
        <w:pStyle w:val="2"/>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2022-03-</w:t>
            </w:r>
            <w:bookmarkEnd w:id="35"/>
            <w:r>
              <w:rPr>
                <w:rFonts w:hint="eastAsia" w:ascii="宋体"/>
                <w:b/>
                <w:color w:val="000000"/>
                <w:szCs w:val="21"/>
                <w:lang w:val="en-US" w:eastAsia="zh-CN"/>
              </w:rPr>
              <w:t>24下午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96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9"/>
        <w:gridCol w:w="9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9" w:type="dxa"/>
          </w:tcPr>
          <w:p>
            <w:pPr>
              <w:widowControl/>
              <w:jc w:val="left"/>
              <w:rPr>
                <w:rFonts w:ascii="宋体"/>
                <w:b/>
                <w:color w:val="000000"/>
                <w:szCs w:val="21"/>
              </w:rPr>
            </w:pPr>
            <w:r>
              <w:rPr>
                <w:rFonts w:hint="eastAsia" w:ascii="宋体" w:hAnsi="宋体"/>
                <w:b/>
                <w:color w:val="000000"/>
                <w:szCs w:val="21"/>
              </w:rPr>
              <w:t>评价项目</w:t>
            </w:r>
          </w:p>
        </w:tc>
        <w:tc>
          <w:tcPr>
            <w:tcW w:w="900" w:type="dxa"/>
          </w:tcPr>
          <w:p>
            <w:pPr>
              <w:widowControl/>
              <w:jc w:val="left"/>
              <w:rPr>
                <w:rFonts w:ascii="宋体"/>
                <w:b/>
                <w:color w:val="000000"/>
                <w:szCs w:val="21"/>
              </w:rPr>
            </w:pPr>
          </w:p>
        </w:tc>
        <w:tc>
          <w:tcPr>
            <w:tcW w:w="777"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9"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90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7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90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7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90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7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90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7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90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7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90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7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9"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90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77"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49"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可能降低可靠性的障碍</w:t>
            </w:r>
          </w:p>
        </w:tc>
        <w:tc>
          <w:tcPr>
            <w:tcW w:w="7066"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49"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突发事件的情况</w:t>
            </w:r>
          </w:p>
        </w:tc>
        <w:tc>
          <w:tcPr>
            <w:tcW w:w="7066"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49"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7066" w:type="dxa"/>
            <w:shd w:val="clear" w:color="auto" w:fill="auto"/>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r>
              <w:rPr>
                <w:rFonts w:hint="eastAsia" w:ascii="宋体"/>
                <w:b/>
                <w:color w:val="0000FF"/>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spacing w:line="280" w:lineRule="exact"/>
              <w:rPr>
                <w:rFonts w:hint="eastAsia" w:ascii="宋体" w:hAnsi="宋体"/>
                <w:b/>
                <w:color w:val="000000"/>
                <w:spacing w:val="-10"/>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spacing w:line="280" w:lineRule="exact"/>
              <w:rPr>
                <w:rFonts w:hint="eastAsia"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eastAsia="宋体"/>
                <w:b/>
                <w:color w:val="000000"/>
                <w:szCs w:val="21"/>
                <w:lang w:eastAsia="zh-CN"/>
              </w:rPr>
              <w:t>集体用餐配送（热食类食品制售）</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eastAsia="宋体"/>
                <w:b/>
                <w:color w:val="000000"/>
                <w:szCs w:val="21"/>
                <w:lang w:eastAsia="zh-CN"/>
              </w:rPr>
              <w:t>集体用餐配送（热食类食品制售）所涉及场所的相关环境管理活动</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lang w:val="en-US" w:eastAsia="zh-CN"/>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eastAsia="宋体"/>
                <w:b/>
                <w:color w:val="000000"/>
                <w:szCs w:val="21"/>
                <w:lang w:eastAsia="zh-CN"/>
              </w:rPr>
              <w:t>集体用餐配送（热食类食品制售）所涉及场所的相关职业健康安全管理活动</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lang w:val="en-US" w:eastAsia="zh-CN"/>
              </w:rPr>
              <w:t>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color w:val="000000"/>
          <w:highlight w:val="none"/>
          <w:u w:val="single"/>
        </w:rPr>
        <w:drawing>
          <wp:anchor distT="0" distB="0" distL="114300" distR="114300" simplePos="0" relativeHeight="251662336" behindDoc="1" locked="0" layoutInCell="1" allowOverlap="1">
            <wp:simplePos x="0" y="0"/>
            <wp:positionH relativeFrom="column">
              <wp:posOffset>4880610</wp:posOffset>
            </wp:positionH>
            <wp:positionV relativeFrom="paragraph">
              <wp:posOffset>86995</wp:posOffset>
            </wp:positionV>
            <wp:extent cx="1013460" cy="587375"/>
            <wp:effectExtent l="0" t="0" r="2540" b="9525"/>
            <wp:wrapTight wrapText="bothSides">
              <wp:wrapPolygon>
                <wp:start x="0" y="0"/>
                <wp:lineTo x="0" y="21016"/>
                <wp:lineTo x="21383" y="21016"/>
                <wp:lineTo x="21383" y="0"/>
                <wp:lineTo x="0" y="0"/>
              </wp:wrapPolygon>
            </wp:wrapTight>
            <wp:docPr id="3" name="图片 3" descr="4171909780928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7190978092871566"/>
                    <pic:cNvPicPr>
                      <a:picLocks noChangeAspect="1"/>
                    </pic:cNvPicPr>
                  </pic:nvPicPr>
                  <pic:blipFill>
                    <a:blip r:embed="rId6"/>
                    <a:stretch>
                      <a:fillRect/>
                    </a:stretch>
                  </pic:blipFill>
                  <pic:spPr>
                    <a:xfrm>
                      <a:off x="0" y="0"/>
                      <a:ext cx="1013460" cy="587375"/>
                    </a:xfrm>
                    <a:prstGeom prst="rect">
                      <a:avLst/>
                    </a:prstGeom>
                  </pic:spPr>
                </pic:pic>
              </a:graphicData>
            </a:graphic>
          </wp:anchor>
        </w:drawing>
      </w:r>
      <w:r>
        <w:rPr>
          <w:rFonts w:ascii="宋体" w:hAnsi="宋体"/>
          <w:b/>
          <w:color w:val="000000"/>
          <w:szCs w:val="21"/>
        </w:rPr>
        <w:drawing>
          <wp:anchor distT="0" distB="0" distL="114300" distR="114300" simplePos="0" relativeHeight="251663360" behindDoc="1" locked="0" layoutInCell="1" allowOverlap="1">
            <wp:simplePos x="0" y="0"/>
            <wp:positionH relativeFrom="column">
              <wp:posOffset>2487295</wp:posOffset>
            </wp:positionH>
            <wp:positionV relativeFrom="paragraph">
              <wp:posOffset>131445</wp:posOffset>
            </wp:positionV>
            <wp:extent cx="831850" cy="433705"/>
            <wp:effectExtent l="0" t="0" r="0" b="10795"/>
            <wp:wrapTight wrapText="bothSides">
              <wp:wrapPolygon>
                <wp:start x="17148" y="633"/>
                <wp:lineTo x="4947" y="1898"/>
                <wp:lineTo x="2308" y="3163"/>
                <wp:lineTo x="2308" y="10753"/>
                <wp:lineTo x="0" y="14548"/>
                <wp:lineTo x="330" y="16445"/>
                <wp:lineTo x="16159" y="20873"/>
                <wp:lineTo x="18137" y="20873"/>
                <wp:lineTo x="18467" y="20240"/>
                <wp:lineTo x="19786" y="10753"/>
                <wp:lineTo x="19786" y="5060"/>
                <wp:lineTo x="18797" y="633"/>
                <wp:lineTo x="17148" y="633"/>
              </wp:wrapPolygon>
            </wp:wrapTight>
            <wp:docPr id="2" name="图片 2" descr="16218451824292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184518242921148"/>
                    <pic:cNvPicPr>
                      <a:picLocks noChangeAspect="1"/>
                    </pic:cNvPicPr>
                  </pic:nvPicPr>
                  <pic:blipFill>
                    <a:blip r:embed="rId7"/>
                    <a:stretch>
                      <a:fillRect/>
                    </a:stretch>
                  </pic:blipFill>
                  <pic:spPr>
                    <a:xfrm>
                      <a:off x="0" y="0"/>
                      <a:ext cx="831850" cy="43370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2022-03-23</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646"/>
        <w:gridCol w:w="1465"/>
        <w:gridCol w:w="186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90" w:type="dxa"/>
            <w:vAlign w:val="center"/>
          </w:tcPr>
          <w:p>
            <w:pPr>
              <w:snapToGrid w:val="0"/>
              <w:spacing w:line="280" w:lineRule="exact"/>
              <w:jc w:val="center"/>
              <w:rPr>
                <w:b/>
                <w:bCs/>
                <w:color w:val="000000"/>
                <w:szCs w:val="21"/>
              </w:rPr>
            </w:pPr>
            <w:r>
              <w:rPr>
                <w:rFonts w:hint="eastAsia"/>
                <w:b/>
                <w:bCs/>
                <w:color w:val="000000"/>
                <w:szCs w:val="21"/>
              </w:rPr>
              <w:t>序号</w:t>
            </w:r>
          </w:p>
        </w:tc>
        <w:tc>
          <w:tcPr>
            <w:tcW w:w="511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86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90" w:type="dxa"/>
            <w:vAlign w:val="center"/>
          </w:tcPr>
          <w:p>
            <w:pPr>
              <w:pStyle w:val="6"/>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lang w:val="en-US" w:eastAsia="zh-CN"/>
              </w:rPr>
              <w:t>1</w:t>
            </w:r>
          </w:p>
        </w:tc>
        <w:tc>
          <w:tcPr>
            <w:tcW w:w="5111" w:type="dxa"/>
            <w:gridSpan w:val="2"/>
            <w:vAlign w:val="center"/>
          </w:tcPr>
          <w:p>
            <w:pPr>
              <w:snapToGrid w:val="0"/>
              <w:spacing w:line="280" w:lineRule="exact"/>
              <w:jc w:val="center"/>
              <w:rPr>
                <w:rFonts w:hint="eastAsia"/>
                <w:b/>
                <w:bCs/>
                <w:color w:val="auto"/>
                <w:szCs w:val="21"/>
                <w:highlight w:val="none"/>
              </w:rPr>
            </w:pPr>
            <w:r>
              <w:rPr>
                <w:rFonts w:hint="eastAsia"/>
                <w:color w:val="auto"/>
                <w:sz w:val="21"/>
                <w:szCs w:val="21"/>
                <w:highlight w:val="none"/>
                <w:lang w:val="en-US" w:eastAsia="zh-CN"/>
              </w:rPr>
              <w:t>危险源</w:t>
            </w:r>
            <w:r>
              <w:rPr>
                <w:rFonts w:hint="eastAsia"/>
                <w:color w:val="auto"/>
                <w:sz w:val="21"/>
                <w:szCs w:val="21"/>
                <w:highlight w:val="none"/>
              </w:rPr>
              <w:t>的</w:t>
            </w:r>
            <w:r>
              <w:rPr>
                <w:rFonts w:hint="eastAsia"/>
                <w:color w:val="auto"/>
                <w:sz w:val="21"/>
                <w:szCs w:val="21"/>
                <w:highlight w:val="none"/>
                <w:lang w:val="en-US" w:eastAsia="zh-CN"/>
              </w:rPr>
              <w:t>辨识的充分</w:t>
            </w:r>
            <w:r>
              <w:rPr>
                <w:rFonts w:hint="eastAsia"/>
                <w:color w:val="auto"/>
                <w:sz w:val="21"/>
                <w:szCs w:val="21"/>
                <w:highlight w:val="none"/>
              </w:rPr>
              <w:t>性</w:t>
            </w:r>
            <w:r>
              <w:rPr>
                <w:rFonts w:hint="eastAsia"/>
                <w:color w:val="auto"/>
                <w:sz w:val="21"/>
                <w:szCs w:val="21"/>
                <w:highlight w:val="none"/>
                <w:lang w:val="en-US" w:eastAsia="zh-CN"/>
              </w:rPr>
              <w:t>不足，配送过程交通事故未识别</w:t>
            </w:r>
          </w:p>
        </w:tc>
        <w:tc>
          <w:tcPr>
            <w:tcW w:w="1860" w:type="dxa"/>
            <w:vAlign w:val="center"/>
          </w:tcPr>
          <w:p>
            <w:pPr>
              <w:snapToGrid w:val="0"/>
              <w:spacing w:line="280" w:lineRule="exact"/>
              <w:jc w:val="center"/>
              <w:rPr>
                <w:rFonts w:hint="default" w:eastAsia="宋体"/>
                <w:b/>
                <w:bCs/>
                <w:color w:val="000000"/>
                <w:szCs w:val="21"/>
                <w:lang w:val="en-US" w:eastAsia="zh-CN"/>
              </w:rPr>
            </w:pPr>
            <w:r>
              <w:rPr>
                <w:rFonts w:hint="eastAsia"/>
                <w:b/>
                <w:bCs/>
                <w:color w:val="000000"/>
                <w:szCs w:val="21"/>
                <w:lang w:val="en-US" w:eastAsia="zh-CN"/>
              </w:rPr>
              <w:t>GB/T45001-2020</w:t>
            </w:r>
          </w:p>
        </w:tc>
        <w:tc>
          <w:tcPr>
            <w:tcW w:w="1133" w:type="dxa"/>
            <w:vAlign w:val="center"/>
          </w:tcPr>
          <w:p>
            <w:pPr>
              <w:snapToGrid w:val="0"/>
              <w:spacing w:line="280" w:lineRule="exact"/>
              <w:jc w:val="center"/>
              <w:rPr>
                <w:rFonts w:hint="eastAsia"/>
                <w:b/>
                <w:bCs/>
                <w:color w:val="000000"/>
                <w:szCs w:val="21"/>
              </w:rPr>
            </w:pPr>
            <w:r>
              <w:rPr>
                <w:rFonts w:hint="eastAsia"/>
                <w:b/>
                <w:bCs/>
                <w:color w:val="000000"/>
                <w:szCs w:val="21"/>
                <w:lang w:val="en-US" w:eastAsia="zh-CN"/>
              </w:rPr>
              <w:t>6.1.2</w:t>
            </w:r>
          </w:p>
        </w:tc>
        <w:tc>
          <w:tcPr>
            <w:tcW w:w="934" w:type="dxa"/>
            <w:vAlign w:val="center"/>
          </w:tcPr>
          <w:p>
            <w:pPr>
              <w:snapToGrid w:val="0"/>
              <w:spacing w:line="280" w:lineRule="exact"/>
              <w:jc w:val="center"/>
              <w:rPr>
                <w:rFonts w:hint="eastAsia" w:eastAsia="宋体"/>
                <w:b/>
                <w:bCs/>
                <w:color w:val="000000"/>
                <w:szCs w:val="21"/>
                <w:lang w:val="en-US" w:eastAsia="zh-CN"/>
              </w:rPr>
            </w:pPr>
            <w:r>
              <w:rPr>
                <w:rFonts w:hint="eastAsia"/>
                <w:b/>
                <w:bCs/>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90" w:type="dxa"/>
            <w:vAlign w:val="center"/>
          </w:tcPr>
          <w:p>
            <w:pPr>
              <w:pStyle w:val="6"/>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lang w:val="en-US" w:eastAsia="zh-CN"/>
              </w:rPr>
              <w:t>2</w:t>
            </w:r>
          </w:p>
        </w:tc>
        <w:tc>
          <w:tcPr>
            <w:tcW w:w="5111" w:type="dxa"/>
            <w:gridSpan w:val="2"/>
            <w:vAlign w:val="center"/>
          </w:tcPr>
          <w:p>
            <w:pPr>
              <w:snapToGrid w:val="0"/>
              <w:spacing w:line="280" w:lineRule="exact"/>
              <w:jc w:val="center"/>
              <w:rPr>
                <w:rFonts w:hint="eastAsia"/>
                <w:b/>
                <w:bCs/>
                <w:color w:val="auto"/>
                <w:szCs w:val="21"/>
                <w:highlight w:val="none"/>
              </w:rPr>
            </w:pPr>
            <w:r>
              <w:rPr>
                <w:rFonts w:hint="eastAsia"/>
                <w:color w:val="auto"/>
                <w:sz w:val="21"/>
                <w:szCs w:val="21"/>
                <w:highlight w:val="none"/>
                <w:lang w:val="en-US" w:eastAsia="zh-CN"/>
              </w:rPr>
              <w:t>危害控制计划：</w:t>
            </w:r>
            <w:r>
              <w:rPr>
                <w:rFonts w:hint="eastAsia"/>
                <w:color w:val="auto"/>
                <w:sz w:val="21"/>
                <w:szCs w:val="21"/>
                <w:highlight w:val="none"/>
                <w:u w:val="single"/>
                <w:lang w:val="en-US" w:eastAsia="zh-CN"/>
              </w:rPr>
              <w:t>OPRP2配送</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未明确配送时间和温度；</w:t>
            </w:r>
            <w:r>
              <w:rPr>
                <w:rFonts w:hint="eastAsia"/>
                <w:color w:val="auto"/>
                <w:sz w:val="21"/>
                <w:szCs w:val="21"/>
                <w:highlight w:val="none"/>
                <w:u w:val="single"/>
              </w:rPr>
              <w:t xml:space="preserve"> </w:t>
            </w:r>
          </w:p>
        </w:tc>
        <w:tc>
          <w:tcPr>
            <w:tcW w:w="1860" w:type="dxa"/>
            <w:vAlign w:val="center"/>
          </w:tcPr>
          <w:p>
            <w:pPr>
              <w:snapToGrid w:val="0"/>
              <w:spacing w:line="280" w:lineRule="exact"/>
              <w:jc w:val="center"/>
              <w:rPr>
                <w:rFonts w:hint="default" w:eastAsia="宋体"/>
                <w:b/>
                <w:bCs/>
                <w:color w:val="000000"/>
                <w:szCs w:val="21"/>
                <w:lang w:val="en-US" w:eastAsia="zh-CN"/>
              </w:rPr>
            </w:pPr>
            <w:r>
              <w:rPr>
                <w:rFonts w:hint="eastAsia"/>
                <w:b/>
                <w:bCs/>
                <w:color w:val="000000"/>
                <w:szCs w:val="21"/>
                <w:lang w:val="en-US" w:eastAsia="zh-CN"/>
              </w:rPr>
              <w:t>ISO22000:2018</w:t>
            </w:r>
          </w:p>
        </w:tc>
        <w:tc>
          <w:tcPr>
            <w:tcW w:w="1133" w:type="dxa"/>
            <w:vAlign w:val="center"/>
          </w:tcPr>
          <w:p>
            <w:pPr>
              <w:snapToGrid w:val="0"/>
              <w:spacing w:line="280" w:lineRule="exact"/>
              <w:jc w:val="center"/>
              <w:rPr>
                <w:rFonts w:hint="default" w:eastAsia="宋体"/>
                <w:b/>
                <w:bCs/>
                <w:color w:val="000000"/>
                <w:szCs w:val="21"/>
                <w:lang w:val="en-US" w:eastAsia="zh-CN"/>
              </w:rPr>
            </w:pPr>
            <w:r>
              <w:rPr>
                <w:rFonts w:hint="eastAsia"/>
                <w:b/>
                <w:bCs/>
                <w:color w:val="000000"/>
                <w:szCs w:val="21"/>
                <w:lang w:val="en-US" w:eastAsia="zh-CN"/>
              </w:rPr>
              <w:t>8.5</w:t>
            </w:r>
          </w:p>
        </w:tc>
        <w:tc>
          <w:tcPr>
            <w:tcW w:w="934" w:type="dxa"/>
            <w:vAlign w:val="center"/>
          </w:tcPr>
          <w:p>
            <w:pPr>
              <w:snapToGrid w:val="0"/>
              <w:spacing w:line="280" w:lineRule="exact"/>
              <w:jc w:val="center"/>
              <w:rPr>
                <w:rFonts w:hint="eastAsia" w:eastAsia="宋体"/>
                <w:b/>
                <w:bCs/>
                <w:color w:val="000000"/>
                <w:szCs w:val="21"/>
                <w:lang w:val="en-US" w:eastAsia="zh-CN"/>
              </w:rPr>
            </w:pPr>
            <w:r>
              <w:rPr>
                <w:rFonts w:hint="eastAsia"/>
                <w:b/>
                <w:bCs/>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90" w:type="dxa"/>
            <w:vAlign w:val="center"/>
          </w:tcPr>
          <w:p>
            <w:pPr>
              <w:pStyle w:val="6"/>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lang w:val="en-US" w:eastAsia="zh-CN"/>
              </w:rPr>
              <w:t>3</w:t>
            </w:r>
          </w:p>
        </w:tc>
        <w:tc>
          <w:tcPr>
            <w:tcW w:w="5111" w:type="dxa"/>
            <w:gridSpan w:val="2"/>
            <w:vAlign w:val="center"/>
          </w:tcPr>
          <w:p>
            <w:pPr>
              <w:pStyle w:val="6"/>
              <w:pBdr>
                <w:bottom w:val="none" w:color="auto" w:sz="0" w:space="0"/>
              </w:pBdr>
              <w:tabs>
                <w:tab w:val="center" w:pos="5737"/>
                <w:tab w:val="clear" w:pos="4153"/>
              </w:tabs>
              <w:jc w:val="both"/>
              <w:rPr>
                <w:rFonts w:hint="eastAsia"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未见到三级安全教育培训的证据</w:t>
            </w:r>
          </w:p>
        </w:tc>
        <w:tc>
          <w:tcPr>
            <w:tcW w:w="1860" w:type="dxa"/>
            <w:vAlign w:val="center"/>
          </w:tcPr>
          <w:p>
            <w:pPr>
              <w:snapToGrid w:val="0"/>
              <w:spacing w:line="280" w:lineRule="exact"/>
              <w:jc w:val="center"/>
              <w:rPr>
                <w:rFonts w:hint="eastAsia" w:ascii="Times New Roman" w:hAnsi="Times New Roman" w:eastAsia="宋体" w:cs="Times New Roman"/>
                <w:b/>
                <w:bCs/>
                <w:color w:val="000000"/>
                <w:kern w:val="2"/>
                <w:sz w:val="21"/>
                <w:szCs w:val="21"/>
                <w:lang w:val="en-US" w:eastAsia="zh-CN" w:bidi="ar-SA"/>
              </w:rPr>
            </w:pPr>
            <w:r>
              <w:rPr>
                <w:rFonts w:hint="eastAsia"/>
                <w:b/>
                <w:bCs/>
                <w:color w:val="000000"/>
                <w:szCs w:val="21"/>
                <w:lang w:val="en-US" w:eastAsia="zh-CN"/>
              </w:rPr>
              <w:t>GB/T45001-2020</w:t>
            </w:r>
          </w:p>
        </w:tc>
        <w:tc>
          <w:tcPr>
            <w:tcW w:w="1133" w:type="dxa"/>
            <w:vAlign w:val="center"/>
          </w:tcPr>
          <w:p>
            <w:pPr>
              <w:snapToGrid w:val="0"/>
              <w:spacing w:line="280" w:lineRule="exact"/>
              <w:jc w:val="center"/>
              <w:rPr>
                <w:rFonts w:hint="eastAsia" w:ascii="Times New Roman" w:hAnsi="Times New Roman" w:eastAsia="宋体" w:cs="Times New Roman"/>
                <w:b/>
                <w:bCs/>
                <w:color w:val="000000"/>
                <w:kern w:val="2"/>
                <w:sz w:val="21"/>
                <w:szCs w:val="21"/>
                <w:lang w:val="en-US" w:eastAsia="zh-CN" w:bidi="ar-SA"/>
              </w:rPr>
            </w:pPr>
            <w:r>
              <w:rPr>
                <w:rFonts w:hint="eastAsia"/>
                <w:b/>
                <w:bCs/>
                <w:color w:val="000000"/>
                <w:szCs w:val="21"/>
                <w:lang w:val="en-US" w:eastAsia="zh-CN"/>
              </w:rPr>
              <w:t>7.2</w:t>
            </w:r>
          </w:p>
        </w:tc>
        <w:tc>
          <w:tcPr>
            <w:tcW w:w="934" w:type="dxa"/>
            <w:vAlign w:val="center"/>
          </w:tcPr>
          <w:p>
            <w:pPr>
              <w:snapToGrid w:val="0"/>
              <w:spacing w:line="280" w:lineRule="exact"/>
              <w:jc w:val="center"/>
              <w:rPr>
                <w:rFonts w:hint="eastAsia" w:eastAsia="宋体"/>
                <w:b/>
                <w:bCs/>
                <w:color w:val="000000"/>
                <w:szCs w:val="21"/>
                <w:lang w:val="en-US" w:eastAsia="zh-CN"/>
              </w:rPr>
            </w:pPr>
            <w:r>
              <w:rPr>
                <w:rFonts w:hint="eastAsia"/>
                <w:b/>
                <w:bCs/>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90" w:type="dxa"/>
            <w:vAlign w:val="center"/>
          </w:tcPr>
          <w:p>
            <w:pPr>
              <w:pStyle w:val="6"/>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lang w:val="en-US" w:eastAsia="zh-CN"/>
              </w:rPr>
              <w:t>4</w:t>
            </w:r>
          </w:p>
        </w:tc>
        <w:tc>
          <w:tcPr>
            <w:tcW w:w="5111" w:type="dxa"/>
            <w:gridSpan w:val="2"/>
            <w:vAlign w:val="center"/>
          </w:tcPr>
          <w:p>
            <w:pPr>
              <w:pStyle w:val="6"/>
              <w:pBdr>
                <w:bottom w:val="none" w:color="auto" w:sz="0" w:space="0"/>
              </w:pBdr>
              <w:tabs>
                <w:tab w:val="center" w:pos="5737"/>
                <w:tab w:val="clear" w:pos="4153"/>
              </w:tabs>
              <w:jc w:val="both"/>
              <w:rPr>
                <w:rFonts w:hint="eastAsia" w:ascii="Calibri" w:hAnsi="Calibri"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撤回召回演练，只进行了召回，追溯过程不够明显</w:t>
            </w:r>
          </w:p>
        </w:tc>
        <w:tc>
          <w:tcPr>
            <w:tcW w:w="1860" w:type="dxa"/>
            <w:vAlign w:val="center"/>
          </w:tcPr>
          <w:p>
            <w:pPr>
              <w:snapToGrid w:val="0"/>
              <w:spacing w:line="28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GB/T19001-2016</w:t>
            </w:r>
          </w:p>
          <w:p>
            <w:pPr>
              <w:pStyle w:val="2"/>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ISO 22000:2018</w:t>
            </w:r>
          </w:p>
          <w:p>
            <w:pPr>
              <w:pStyle w:val="2"/>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HACCP体系（V1.0）</w:t>
            </w:r>
          </w:p>
        </w:tc>
        <w:tc>
          <w:tcPr>
            <w:tcW w:w="1133" w:type="dxa"/>
            <w:vAlign w:val="center"/>
          </w:tcPr>
          <w:p>
            <w:pPr>
              <w:snapToGrid w:val="0"/>
              <w:spacing w:line="28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8.5.2</w:t>
            </w:r>
          </w:p>
          <w:p>
            <w:pPr>
              <w:pStyle w:val="2"/>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8.3</w:t>
            </w:r>
          </w:p>
          <w:p>
            <w:pPr>
              <w:pStyle w:val="2"/>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3.7</w:t>
            </w:r>
          </w:p>
        </w:tc>
        <w:tc>
          <w:tcPr>
            <w:tcW w:w="934" w:type="dxa"/>
            <w:vAlign w:val="center"/>
          </w:tcPr>
          <w:p>
            <w:pPr>
              <w:snapToGrid w:val="0"/>
              <w:spacing w:line="280" w:lineRule="exact"/>
              <w:jc w:val="center"/>
              <w:rPr>
                <w:rFonts w:hint="eastAsia" w:eastAsia="宋体"/>
                <w:b/>
                <w:bCs/>
                <w:color w:val="000000"/>
                <w:szCs w:val="21"/>
                <w:lang w:val="en-US" w:eastAsia="zh-CN"/>
              </w:rPr>
            </w:pPr>
            <w:r>
              <w:rPr>
                <w:rFonts w:hint="eastAsia"/>
                <w:b/>
                <w:bCs/>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090" w:type="dxa"/>
            <w:vAlign w:val="center"/>
          </w:tcPr>
          <w:p>
            <w:pPr>
              <w:pStyle w:val="6"/>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lang w:val="en-US" w:eastAsia="zh-CN"/>
              </w:rPr>
              <w:t>5</w:t>
            </w:r>
          </w:p>
        </w:tc>
        <w:tc>
          <w:tcPr>
            <w:tcW w:w="5111" w:type="dxa"/>
            <w:gridSpan w:val="2"/>
            <w:vAlign w:val="center"/>
          </w:tcPr>
          <w:p>
            <w:pPr>
              <w:pStyle w:val="6"/>
              <w:pBdr>
                <w:bottom w:val="none" w:color="auto" w:sz="0" w:space="0"/>
              </w:pBdr>
              <w:tabs>
                <w:tab w:val="center" w:pos="5737"/>
                <w:tab w:val="clear" w:pos="4153"/>
              </w:tabs>
              <w:jc w:val="both"/>
              <w:rPr>
                <w:rFonts w:hint="eastAsia"/>
                <w:color w:val="auto"/>
                <w:sz w:val="21"/>
                <w:szCs w:val="21"/>
                <w:highlight w:val="none"/>
                <w:lang w:val="en-US" w:eastAsia="zh-CN"/>
              </w:rPr>
            </w:pPr>
            <w:r>
              <w:rPr>
                <w:rFonts w:hint="eastAsia"/>
                <w:color w:val="auto"/>
                <w:sz w:val="21"/>
                <w:szCs w:val="21"/>
                <w:highlight w:val="none"/>
                <w:lang w:val="en-US" w:eastAsia="zh-CN"/>
              </w:rPr>
              <w:t>现场查看：</w:t>
            </w:r>
          </w:p>
          <w:p>
            <w:pPr>
              <w:pStyle w:val="6"/>
              <w:pBdr>
                <w:bottom w:val="none" w:color="auto" w:sz="0" w:space="0"/>
              </w:pBdr>
              <w:tabs>
                <w:tab w:val="center" w:pos="5737"/>
                <w:tab w:val="clear" w:pos="4153"/>
              </w:tabs>
              <w:jc w:val="center"/>
              <w:rPr>
                <w:rFonts w:hint="eastAsia"/>
                <w:color w:val="auto"/>
                <w:sz w:val="21"/>
                <w:szCs w:val="21"/>
                <w:highlight w:val="none"/>
                <w:lang w:val="en-US" w:eastAsia="zh-CN"/>
              </w:rPr>
            </w:pPr>
            <w:r>
              <w:rPr>
                <w:rFonts w:hint="eastAsia"/>
                <w:color w:val="auto"/>
                <w:sz w:val="21"/>
                <w:szCs w:val="21"/>
                <w:highlight w:val="none"/>
                <w:lang w:val="en-US" w:eastAsia="zh-CN"/>
              </w:rPr>
              <w:t>1）更衣室内围裙有点脏；工作服和个人衣物混放；</w:t>
            </w:r>
          </w:p>
          <w:p>
            <w:pPr>
              <w:pStyle w:val="6"/>
              <w:pBdr>
                <w:bottom w:val="none" w:color="auto" w:sz="0" w:space="0"/>
              </w:pBdr>
              <w:tabs>
                <w:tab w:val="center" w:pos="5737"/>
                <w:tab w:val="clear" w:pos="4153"/>
              </w:tabs>
              <w:jc w:val="both"/>
              <w:rPr>
                <w:rFonts w:hint="eastAsia"/>
                <w:color w:val="auto"/>
                <w:sz w:val="21"/>
                <w:szCs w:val="21"/>
                <w:highlight w:val="none"/>
                <w:lang w:val="en-US" w:eastAsia="zh-CN"/>
              </w:rPr>
            </w:pPr>
            <w:r>
              <w:rPr>
                <w:rFonts w:hint="eastAsia"/>
                <w:color w:val="auto"/>
                <w:sz w:val="21"/>
                <w:szCs w:val="21"/>
                <w:highlight w:val="none"/>
                <w:lang w:val="en-US" w:eastAsia="zh-CN"/>
              </w:rPr>
              <w:t>2）刀具架内有生锈；</w:t>
            </w:r>
          </w:p>
          <w:p>
            <w:pPr>
              <w:pStyle w:val="6"/>
              <w:pBdr>
                <w:bottom w:val="none" w:color="auto" w:sz="0" w:space="0"/>
              </w:pBdr>
              <w:tabs>
                <w:tab w:val="center" w:pos="5737"/>
                <w:tab w:val="clear" w:pos="4153"/>
              </w:tabs>
              <w:jc w:val="both"/>
              <w:rPr>
                <w:rFonts w:hint="eastAsia"/>
                <w:color w:val="auto"/>
                <w:sz w:val="21"/>
                <w:szCs w:val="21"/>
                <w:highlight w:val="none"/>
                <w:lang w:val="en-US" w:eastAsia="zh-CN"/>
              </w:rPr>
            </w:pPr>
            <w:r>
              <w:rPr>
                <w:rFonts w:hint="eastAsia"/>
                <w:color w:val="auto"/>
                <w:sz w:val="21"/>
                <w:szCs w:val="21"/>
                <w:highlight w:val="none"/>
                <w:lang w:val="en-US" w:eastAsia="zh-CN"/>
              </w:rPr>
              <w:t>3）装在托盘中的熟菜未做防护</w:t>
            </w:r>
          </w:p>
        </w:tc>
        <w:tc>
          <w:tcPr>
            <w:tcW w:w="1860" w:type="dxa"/>
            <w:vAlign w:val="center"/>
          </w:tcPr>
          <w:p>
            <w:pPr>
              <w:snapToGrid w:val="0"/>
              <w:spacing w:line="28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GB/T19001-2016</w:t>
            </w:r>
          </w:p>
          <w:p>
            <w:pPr>
              <w:pStyle w:val="2"/>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ISO 22000:2018</w:t>
            </w:r>
          </w:p>
          <w:p>
            <w:pPr>
              <w:pStyle w:val="2"/>
              <w:jc w:val="center"/>
              <w:rPr>
                <w:rFonts w:hint="default" w:ascii="Times New Roman" w:hAnsi="Times New Roman" w:eastAsia="宋体" w:cs="Times New Roman"/>
                <w:b/>
                <w:bCs/>
                <w:color w:val="000000"/>
                <w:kern w:val="2"/>
                <w:sz w:val="18"/>
                <w:szCs w:val="21"/>
                <w:lang w:val="en-US" w:eastAsia="zh-CN" w:bidi="ar-SA"/>
              </w:rPr>
            </w:pPr>
            <w:r>
              <w:rPr>
                <w:rFonts w:hint="default" w:ascii="Times New Roman" w:hAnsi="Times New Roman" w:cs="Times New Roman"/>
                <w:b/>
                <w:bCs/>
                <w:color w:val="000000"/>
                <w:szCs w:val="21"/>
                <w:lang w:val="en-US" w:eastAsia="zh-CN"/>
              </w:rPr>
              <w:t>HACCP体系（V1.0）</w:t>
            </w:r>
          </w:p>
        </w:tc>
        <w:tc>
          <w:tcPr>
            <w:tcW w:w="1133" w:type="dxa"/>
            <w:vAlign w:val="center"/>
          </w:tcPr>
          <w:p>
            <w:pPr>
              <w:snapToGrid w:val="0"/>
              <w:spacing w:line="28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8.5.4</w:t>
            </w:r>
          </w:p>
          <w:p>
            <w:pPr>
              <w:pStyle w:val="2"/>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8.2</w:t>
            </w:r>
          </w:p>
          <w:p>
            <w:pPr>
              <w:pStyle w:val="2"/>
              <w:jc w:val="center"/>
              <w:rPr>
                <w:rFonts w:hint="default" w:ascii="Times New Roman" w:hAnsi="Times New Roman" w:eastAsia="宋体" w:cs="Times New Roman"/>
                <w:b/>
                <w:bCs/>
                <w:color w:val="000000"/>
                <w:kern w:val="2"/>
                <w:sz w:val="18"/>
                <w:szCs w:val="21"/>
                <w:lang w:val="en-US" w:eastAsia="zh-CN" w:bidi="ar-SA"/>
              </w:rPr>
            </w:pPr>
            <w:r>
              <w:rPr>
                <w:rFonts w:hint="default" w:ascii="Times New Roman" w:hAnsi="Times New Roman" w:cs="Times New Roman"/>
                <w:b/>
                <w:bCs/>
                <w:color w:val="000000"/>
                <w:szCs w:val="21"/>
                <w:lang w:val="en-US" w:eastAsia="zh-CN"/>
              </w:rPr>
              <w:t>3.3</w:t>
            </w:r>
          </w:p>
        </w:tc>
        <w:tc>
          <w:tcPr>
            <w:tcW w:w="934" w:type="dxa"/>
            <w:vAlign w:val="center"/>
          </w:tcPr>
          <w:p>
            <w:pPr>
              <w:snapToGrid w:val="0"/>
              <w:spacing w:line="280" w:lineRule="exact"/>
              <w:jc w:val="center"/>
              <w:rPr>
                <w:rFonts w:hint="eastAsia" w:eastAsia="宋体"/>
                <w:b/>
                <w:bCs/>
                <w:color w:val="000000"/>
                <w:szCs w:val="21"/>
                <w:lang w:val="en-US" w:eastAsia="zh-CN"/>
              </w:rPr>
            </w:pPr>
            <w:r>
              <w:rPr>
                <w:rFonts w:hint="eastAsia"/>
                <w:b/>
                <w:bCs/>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90" w:type="dxa"/>
            <w:vAlign w:val="center"/>
          </w:tcPr>
          <w:p>
            <w:pPr>
              <w:pStyle w:val="6"/>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lang w:val="en-US" w:eastAsia="zh-CN"/>
              </w:rPr>
              <w:t>6</w:t>
            </w:r>
          </w:p>
        </w:tc>
        <w:tc>
          <w:tcPr>
            <w:tcW w:w="5111" w:type="dxa"/>
            <w:gridSpan w:val="2"/>
            <w:vAlign w:val="center"/>
          </w:tcPr>
          <w:p>
            <w:pPr>
              <w:pStyle w:val="6"/>
              <w:pBdr>
                <w:bottom w:val="none" w:color="auto" w:sz="0" w:space="0"/>
              </w:pBdr>
              <w:tabs>
                <w:tab w:val="center" w:pos="5737"/>
                <w:tab w:val="clear" w:pos="4153"/>
              </w:tabs>
              <w:jc w:val="center"/>
              <w:rPr>
                <w:rFonts w:hint="eastAsia"/>
                <w:color w:val="000000"/>
                <w:sz w:val="21"/>
                <w:szCs w:val="21"/>
                <w:highlight w:val="yellow"/>
                <w:lang w:val="en-US" w:eastAsia="zh-CN"/>
              </w:rPr>
            </w:pPr>
          </w:p>
        </w:tc>
        <w:tc>
          <w:tcPr>
            <w:tcW w:w="1860" w:type="dxa"/>
            <w:vAlign w:val="center"/>
          </w:tcPr>
          <w:p>
            <w:pPr>
              <w:snapToGrid w:val="0"/>
              <w:spacing w:line="280" w:lineRule="exact"/>
              <w:jc w:val="center"/>
              <w:rPr>
                <w:rFonts w:hint="eastAsia"/>
                <w:b/>
                <w:bCs/>
                <w:color w:val="000000"/>
                <w:szCs w:val="21"/>
              </w:rPr>
            </w:pPr>
          </w:p>
        </w:tc>
        <w:tc>
          <w:tcPr>
            <w:tcW w:w="1133" w:type="dxa"/>
            <w:vAlign w:val="center"/>
          </w:tcPr>
          <w:p>
            <w:pPr>
              <w:snapToGrid w:val="0"/>
              <w:spacing w:line="280" w:lineRule="exact"/>
              <w:jc w:val="center"/>
              <w:rPr>
                <w:rFonts w:hint="eastAsia"/>
                <w:b/>
                <w:bCs/>
                <w:color w:val="000000"/>
                <w:szCs w:val="21"/>
              </w:rPr>
            </w:pPr>
          </w:p>
        </w:tc>
        <w:tc>
          <w:tcPr>
            <w:tcW w:w="934" w:type="dxa"/>
            <w:vAlign w:val="center"/>
          </w:tcPr>
          <w:p>
            <w:pPr>
              <w:snapToGrid w:val="0"/>
              <w:spacing w:line="280" w:lineRule="exact"/>
              <w:jc w:val="center"/>
              <w:rPr>
                <w:rFonts w:hint="eastAsia" w:eastAsia="宋体"/>
                <w:b/>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090" w:type="dxa"/>
            <w:vAlign w:val="center"/>
          </w:tcPr>
          <w:p>
            <w:pPr>
              <w:pStyle w:val="6"/>
              <w:pBdr>
                <w:bottom w:val="none" w:color="auto" w:sz="0" w:space="0"/>
              </w:pBdr>
              <w:ind w:right="600"/>
              <w:jc w:val="both"/>
              <w:rPr>
                <w:rFonts w:ascii="宋体"/>
                <w:color w:val="000000"/>
                <w:sz w:val="21"/>
                <w:szCs w:val="21"/>
              </w:rPr>
            </w:pPr>
          </w:p>
        </w:tc>
        <w:tc>
          <w:tcPr>
            <w:tcW w:w="511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860"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4736" w:type="dxa"/>
            <w:gridSpan w:val="2"/>
          </w:tcPr>
          <w:p>
            <w:pPr>
              <w:spacing w:line="280" w:lineRule="exact"/>
              <w:rPr>
                <w:b/>
                <w:color w:val="000000"/>
                <w:szCs w:val="21"/>
              </w:rPr>
            </w:pPr>
            <w:r>
              <w:rPr>
                <w:rFonts w:ascii="宋体" w:hAnsi="宋体"/>
                <w:b/>
                <w:color w:val="000000"/>
                <w:szCs w:val="21"/>
              </w:rPr>
              <w:drawing>
                <wp:anchor distT="0" distB="0" distL="114300" distR="114300" simplePos="0" relativeHeight="251664384" behindDoc="1" locked="0" layoutInCell="1" allowOverlap="1">
                  <wp:simplePos x="0" y="0"/>
                  <wp:positionH relativeFrom="column">
                    <wp:posOffset>797560</wp:posOffset>
                  </wp:positionH>
                  <wp:positionV relativeFrom="paragraph">
                    <wp:posOffset>-3175</wp:posOffset>
                  </wp:positionV>
                  <wp:extent cx="831850" cy="433705"/>
                  <wp:effectExtent l="0" t="0" r="0" b="10795"/>
                  <wp:wrapTight wrapText="bothSides">
                    <wp:wrapPolygon>
                      <wp:start x="17148" y="633"/>
                      <wp:lineTo x="4947" y="1898"/>
                      <wp:lineTo x="2308" y="3163"/>
                      <wp:lineTo x="2308" y="10753"/>
                      <wp:lineTo x="0" y="14548"/>
                      <wp:lineTo x="330" y="16445"/>
                      <wp:lineTo x="16159" y="20873"/>
                      <wp:lineTo x="18137" y="20873"/>
                      <wp:lineTo x="18467" y="20240"/>
                      <wp:lineTo x="19786" y="10753"/>
                      <wp:lineTo x="19786" y="5060"/>
                      <wp:lineTo x="18797" y="633"/>
                      <wp:lineTo x="17148" y="633"/>
                    </wp:wrapPolygon>
                  </wp:wrapTight>
                  <wp:docPr id="5" name="图片 5" descr="16218451824292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184518242921148"/>
                          <pic:cNvPicPr>
                            <a:picLocks noChangeAspect="1"/>
                          </pic:cNvPicPr>
                        </pic:nvPicPr>
                        <pic:blipFill>
                          <a:blip r:embed="rId7"/>
                          <a:stretch>
                            <a:fillRect/>
                          </a:stretch>
                        </pic:blipFill>
                        <pic:spPr>
                          <a:xfrm>
                            <a:off x="0" y="0"/>
                            <a:ext cx="831850" cy="43370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23</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ind w:firstLine="422" w:firstLineChars="200"/>
              <w:rPr>
                <w:rFonts w:hint="eastAsia" w:eastAsia="宋体"/>
                <w:b/>
                <w:color w:val="000000"/>
                <w:szCs w:val="21"/>
                <w:lang w:val="en-US" w:eastAsia="zh-CN"/>
              </w:rPr>
            </w:pPr>
            <w:r>
              <w:rPr>
                <w:rFonts w:hint="eastAsia"/>
                <w:b/>
                <w:color w:val="000000"/>
                <w:szCs w:val="21"/>
                <w:lang w:val="en-US" w:eastAsia="zh-CN"/>
              </w:rPr>
              <w:t>骆丰收</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eastAsia" w:ascii="宋体" w:eastAsia="宋体"/>
                <w:b/>
                <w:bCs/>
                <w:color w:val="000000"/>
                <w:spacing w:val="-8"/>
                <w:szCs w:val="21"/>
                <w:lang w:val="en-US" w:eastAsia="zh-CN"/>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r>
              <w:rPr>
                <w:rFonts w:hint="eastAsia" w:ascii="宋体" w:hAnsi="宋体"/>
                <w:b/>
                <w:bCs/>
                <w:color w:val="000000"/>
                <w:spacing w:val="-8"/>
                <w:szCs w:val="21"/>
                <w:lang w:val="en-US" w:eastAsia="zh-CN"/>
              </w:rPr>
              <w:t>无</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ascii="宋体" w:hAnsi="宋体"/>
                <w:b/>
                <w:color w:val="000000"/>
                <w:szCs w:val="21"/>
              </w:rPr>
              <w:drawing>
                <wp:anchor distT="0" distB="0" distL="114300" distR="114300" simplePos="0" relativeHeight="251665408" behindDoc="1" locked="0" layoutInCell="1" allowOverlap="1">
                  <wp:simplePos x="0" y="0"/>
                  <wp:positionH relativeFrom="column">
                    <wp:posOffset>749300</wp:posOffset>
                  </wp:positionH>
                  <wp:positionV relativeFrom="paragraph">
                    <wp:posOffset>135890</wp:posOffset>
                  </wp:positionV>
                  <wp:extent cx="831850" cy="433705"/>
                  <wp:effectExtent l="0" t="0" r="0" b="10795"/>
                  <wp:wrapTight wrapText="bothSides">
                    <wp:wrapPolygon>
                      <wp:start x="17148" y="633"/>
                      <wp:lineTo x="4947" y="1898"/>
                      <wp:lineTo x="2308" y="3163"/>
                      <wp:lineTo x="2308" y="10753"/>
                      <wp:lineTo x="0" y="14548"/>
                      <wp:lineTo x="330" y="16445"/>
                      <wp:lineTo x="16159" y="20873"/>
                      <wp:lineTo x="18137" y="20873"/>
                      <wp:lineTo x="18467" y="20240"/>
                      <wp:lineTo x="19786" y="10753"/>
                      <wp:lineTo x="19786" y="5060"/>
                      <wp:lineTo x="18797" y="633"/>
                      <wp:lineTo x="17148" y="633"/>
                    </wp:wrapPolygon>
                  </wp:wrapTight>
                  <wp:docPr id="6" name="图片 6" descr="16218451824292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184518242921148"/>
                          <pic:cNvPicPr>
                            <a:picLocks noChangeAspect="1"/>
                          </pic:cNvPicPr>
                        </pic:nvPicPr>
                        <pic:blipFill>
                          <a:blip r:embed="rId7"/>
                          <a:stretch>
                            <a:fillRect/>
                          </a:stretch>
                        </pic:blipFill>
                        <pic:spPr>
                          <a:xfrm>
                            <a:off x="0" y="0"/>
                            <a:ext cx="831850" cy="433705"/>
                          </a:xfrm>
                          <a:prstGeom prst="rect">
                            <a:avLst/>
                          </a:prstGeom>
                        </pic:spPr>
                      </pic:pic>
                    </a:graphicData>
                  </a:graphic>
                </wp:anchor>
              </w:drawing>
            </w:r>
          </w:p>
          <w:p>
            <w:pPr>
              <w:pStyle w:val="2"/>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3</w:t>
            </w:r>
            <w:r>
              <w:rPr>
                <w:rFonts w:hint="eastAsia"/>
                <w:b/>
                <w:color w:val="000000"/>
                <w:szCs w:val="21"/>
              </w:rPr>
              <w:t>月</w:t>
            </w:r>
            <w:r>
              <w:rPr>
                <w:rFonts w:hint="eastAsia"/>
                <w:b/>
                <w:color w:val="000000"/>
                <w:szCs w:val="21"/>
                <w:lang w:val="en-US" w:eastAsia="zh-CN"/>
              </w:rPr>
              <w:t>23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7E13A52"/>
    <w:rsid w:val="0B775B05"/>
    <w:rsid w:val="159C41AC"/>
    <w:rsid w:val="27481C0E"/>
    <w:rsid w:val="29323FCF"/>
    <w:rsid w:val="336E3E55"/>
    <w:rsid w:val="33D470EE"/>
    <w:rsid w:val="4BEF4DD3"/>
    <w:rsid w:val="6BEE7C41"/>
    <w:rsid w:val="71AF23A6"/>
    <w:rsid w:val="7E4B24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2"/>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 w:type="paragraph" w:customStyle="1" w:styleId="2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2022-03-26T13:28:10Z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