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left="359" w:leftChars="171" w:firstLine="1265" w:firstLineChars="35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成都楷玺物业服务有限公司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>提供的物业管理服务符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成都楷玺物业服务有限公司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2022年03月2</w:t>
      </w:r>
      <w:r>
        <w:rPr>
          <w:rFonts w:hint="eastAsia"/>
          <w:b/>
          <w:sz w:val="36"/>
          <w:szCs w:val="36"/>
          <w:lang w:val="en-US" w:eastAsia="zh-CN"/>
        </w:rPr>
        <w:t>7</w:t>
      </w:r>
      <w:bookmarkStart w:id="5" w:name="_GoBack"/>
      <w:bookmarkEnd w:id="5"/>
      <w:r>
        <w:rPr>
          <w:rFonts w:hint="eastAsia"/>
          <w:b/>
          <w:sz w:val="36"/>
          <w:szCs w:val="36"/>
          <w:lang w:eastAsia="zh-CN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D ISC-B-II-2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4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B95AC8"/>
    <w:rsid w:val="3A082EEB"/>
    <w:rsid w:val="43143C02"/>
    <w:rsid w:val="63BA1BE3"/>
    <w:rsid w:val="69D45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2022-03-25T05:37:53Z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