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99"/>
        <w:gridCol w:w="890"/>
        <w:gridCol w:w="800"/>
        <w:gridCol w:w="1270"/>
        <w:gridCol w:w="641"/>
        <w:gridCol w:w="609"/>
        <w:gridCol w:w="1329"/>
        <w:gridCol w:w="331"/>
        <w:gridCol w:w="410"/>
        <w:gridCol w:w="571"/>
        <w:gridCol w:w="119"/>
        <w:gridCol w:w="56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8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河北旋盈环境检测服务有限公司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8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河北省鹿泉区军鼎科技园14号楼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8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河北省鹿泉区军鼎科技园14号楼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李贞宇</w:t>
            </w:r>
            <w:bookmarkEnd w:id="3"/>
          </w:p>
        </w:tc>
        <w:tc>
          <w:tcPr>
            <w:tcW w:w="12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18932928767</w:t>
            </w:r>
            <w:bookmarkEnd w:id="4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hbxyjc@126.com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60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2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70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0236-2022-QEO</w:t>
            </w:r>
            <w:bookmarkEnd w:id="8"/>
          </w:p>
        </w:tc>
        <w:tc>
          <w:tcPr>
            <w:tcW w:w="125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70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41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80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8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80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5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sz w:val="20"/>
              </w:rPr>
              <w:t>Q：资质范围内环境检测服务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E：资质范围内环境检测服务所涉及场所的相关环境管理活动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O：资质范围内环境检测服务所涉及场所的相关职业健康安全管理活动</w:t>
            </w:r>
            <w:bookmarkEnd w:id="16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Q：34.02.00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80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Wingdings" w:hAnsi="Wingdings"/>
                <w:b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Wingdings" w:hAnsi="Wingdings"/>
                <w:b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Wingdings" w:hAnsi="Wingdings"/>
                <w:b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8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2022年05月07日 上午至2022年05月08日 下午</w:t>
            </w:r>
            <w:bookmarkEnd w:id="21"/>
            <w:r>
              <w:rPr>
                <w:rFonts w:hint="eastAsia"/>
                <w:b/>
                <w:sz w:val="20"/>
              </w:rPr>
              <w:t>(共</w:t>
            </w:r>
            <w:bookmarkStart w:id="22" w:name="审核天数"/>
            <w:r>
              <w:rPr>
                <w:rFonts w:hint="eastAsia"/>
                <w:b/>
                <w:sz w:val="20"/>
              </w:rPr>
              <w:t>2.0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1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8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8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Wingdings" w:hAnsi="Wingdings"/>
                <w:b/>
                <w:sz w:val="24"/>
                <w:szCs w:val="24"/>
              </w:rPr>
              <w:sym w:font="Wingdings" w:char="00FE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2021-N1EMS-4021820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7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7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0"/>
                <w:lang w:val="de-DE"/>
              </w:rPr>
            </w:pPr>
          </w:p>
        </w:tc>
        <w:tc>
          <w:tcPr>
            <w:tcW w:w="1730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1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91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2022.5.6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2022.5.6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2022.5.7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353"/>
        <w:gridCol w:w="1007"/>
        <w:gridCol w:w="4220"/>
        <w:gridCol w:w="165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3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5-7</w:t>
            </w:r>
          </w:p>
        </w:tc>
        <w:tc>
          <w:tcPr>
            <w:tcW w:w="1353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4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00-8:30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2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65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变更的策划；资源提供；危险源辨识、风险评价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管理评审；总则；持续改进</w:t>
            </w:r>
          </w:p>
        </w:tc>
        <w:tc>
          <w:tcPr>
            <w:tcW w:w="1650" w:type="dxa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6.1/7.1/9.3/10.1/10.3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5-7</w:t>
            </w:r>
          </w:p>
        </w:tc>
        <w:tc>
          <w:tcPr>
            <w:tcW w:w="135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-16:30</w:t>
            </w:r>
          </w:p>
        </w:tc>
        <w:tc>
          <w:tcPr>
            <w:tcW w:w="1007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4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目标、方案；合规义务；法律法规要求；人员、组织知识；能力；意识；信息交流、沟通参与和协商；文件化信息；产品和服务要求；外部提供的过程、产品和服务的控制；交付后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活动；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内部审核；事件、不合格及纠正和预防措施控制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;员工代表；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/8.2/8.4/8.5.5/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9.1.2/9.2/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  <w:p>
            <w:pPr>
              <w:spacing w:line="300" w:lineRule="exact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7.2/7.3/7.4/7.5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/9.2/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8:30-10: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00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422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化验室</w:t>
            </w:r>
            <w:r>
              <w:rPr>
                <w:rFonts w:hint="eastAsia"/>
                <w:sz w:val="21"/>
                <w:szCs w:val="21"/>
              </w:rPr>
              <w:t>及主要的环保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检测项目</w:t>
            </w:r>
            <w:r>
              <w:rPr>
                <w:rFonts w:hint="eastAsia"/>
                <w:sz w:val="21"/>
                <w:szCs w:val="21"/>
              </w:rPr>
              <w:t>、安全设备设施、危化品库、危废库、公用工程</w:t>
            </w:r>
          </w:p>
        </w:tc>
        <w:tc>
          <w:tcPr>
            <w:tcW w:w="165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.1/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5-7</w:t>
            </w:r>
          </w:p>
        </w:tc>
        <w:tc>
          <w:tcPr>
            <w:tcW w:w="135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>10:00-17:00</w:t>
            </w:r>
          </w:p>
        </w:tc>
        <w:tc>
          <w:tcPr>
            <w:tcW w:w="1007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检测部</w:t>
            </w:r>
          </w:p>
        </w:tc>
        <w:tc>
          <w:tcPr>
            <w:tcW w:w="4220" w:type="dxa"/>
            <w:shd w:val="clear" w:color="auto" w:fill="F2DCDC" w:themeFill="accen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和服务的控制；标识和可追溯性；产品防护；顾客或外部供方财产；变更的控制；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产品和服务的放行；不合格输出的控制；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,不符合纠正措施；</w:t>
            </w:r>
          </w:p>
        </w:tc>
        <w:tc>
          <w:tcPr>
            <w:tcW w:w="1650" w:type="dxa"/>
            <w:shd w:val="clear" w:color="auto" w:fill="F2DCDC" w:themeFill="accen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.1/8.5.2/8.5.3/8.5.4/8.5.6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/9.1.3/10.2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3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07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4220" w:type="dxa"/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环境因素/危险源识别评价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控制措施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；运行控制；应急准备和响应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绩效的监视和测量；合规性评价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650" w:type="dxa"/>
            <w:shd w:val="clear" w:color="auto" w:fill="C7DAF1" w:themeFill="text2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7440" w:leftChars="-3100" w:firstLine="7419" w:firstLineChars="3533"/>
              <w:jc w:val="righ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6.1.4/8.1/8.2/9.1.1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5-8</w:t>
            </w:r>
          </w:p>
        </w:tc>
        <w:tc>
          <w:tcPr>
            <w:tcW w:w="135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2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5-8</w:t>
            </w:r>
          </w:p>
        </w:tc>
        <w:tc>
          <w:tcPr>
            <w:tcW w:w="135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</w:t>
            </w:r>
            <w:r>
              <w:rPr>
                <w:rFonts w:hint="eastAsia"/>
                <w:color w:val="000000"/>
                <w:sz w:val="21"/>
                <w:szCs w:val="21"/>
              </w:rPr>
              <w:t>00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007" w:type="dxa"/>
            <w:shd w:val="clear" w:color="auto" w:fill="F2DCDC" w:themeFill="accent2" w:themeFillTint="32"/>
          </w:tcPr>
          <w:p>
            <w:pPr>
              <w:rPr>
                <w:rFonts w:hint="eastAsia" w:ascii="楷体_GB2312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继续审核检测部</w:t>
            </w:r>
          </w:p>
        </w:tc>
        <w:tc>
          <w:tcPr>
            <w:tcW w:w="422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65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B8CCE4" w:themeFill="accent1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B8CCE4" w:themeFill="accent1" w:themeFillTint="66"/>
          </w:tcPr>
          <w:p>
            <w:pPr>
              <w:snapToGrid w:val="0"/>
              <w:spacing w:line="320" w:lineRule="exact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8:00-15:00</w:t>
            </w:r>
          </w:p>
        </w:tc>
        <w:tc>
          <w:tcPr>
            <w:tcW w:w="1007" w:type="dxa"/>
            <w:shd w:val="clear" w:color="auto" w:fill="B8CCE4" w:themeFill="accent1" w:themeFillTint="66"/>
          </w:tcPr>
          <w:p>
            <w:pPr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现场部</w:t>
            </w:r>
          </w:p>
        </w:tc>
        <w:tc>
          <w:tcPr>
            <w:tcW w:w="4220" w:type="dxa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运行环境；监视和测量资源；运行的策划和控制；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产品和服务的放行；不合格输出的控制；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.1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B8CCE4" w:themeFill="accent1" w:themeFillTint="66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00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继续审核综合部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00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42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资金支持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5.3/6.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.1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EO6.1.2/8.2 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3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-16:00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2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16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22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6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3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5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007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2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5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F360C"/>
    <w:rsid w:val="15E81481"/>
    <w:rsid w:val="19A8513F"/>
    <w:rsid w:val="1B2D47DF"/>
    <w:rsid w:val="1D3B654D"/>
    <w:rsid w:val="24EF3ACB"/>
    <w:rsid w:val="2A503824"/>
    <w:rsid w:val="313B4934"/>
    <w:rsid w:val="31930810"/>
    <w:rsid w:val="36E439EA"/>
    <w:rsid w:val="3A7B6519"/>
    <w:rsid w:val="3BD56995"/>
    <w:rsid w:val="4C956A75"/>
    <w:rsid w:val="52F705C1"/>
    <w:rsid w:val="5DC45713"/>
    <w:rsid w:val="618073A3"/>
    <w:rsid w:val="70D76F95"/>
    <w:rsid w:val="7C4D63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29</TotalTime>
  <ScaleCrop>false</ScaleCrop>
  <LinksUpToDate>false</LinksUpToDate>
  <CharactersWithSpaces>5336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2022-05-08T05:45:09Z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