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0236-2022-QEO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河北旋盈环境检测服务有限公司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2022年05月05日 上午至2022年05月05日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90"/>
        <w:gridCol w:w="162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390" w:type="dxa"/>
            <w:vAlign w:val="center"/>
          </w:tcPr>
          <w:p>
            <w:pPr>
              <w:spacing w:line="240" w:lineRule="exact"/>
              <w:jc w:val="center"/>
              <w:rPr>
                <w:b/>
                <w:color w:val="000000"/>
                <w:szCs w:val="21"/>
              </w:rPr>
            </w:pPr>
            <w:r>
              <w:rPr>
                <w:rFonts w:hint="eastAsia"/>
                <w:szCs w:val="21"/>
              </w:rPr>
              <w:t>审核员注册证书号</w:t>
            </w:r>
          </w:p>
        </w:tc>
        <w:tc>
          <w:tcPr>
            <w:tcW w:w="162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390" w:type="dxa"/>
            <w:vAlign w:val="center"/>
          </w:tcPr>
          <w:p>
            <w:pPr>
              <w:spacing w:line="240" w:lineRule="exact"/>
              <w:jc w:val="center"/>
              <w:rPr>
                <w:b/>
                <w:color w:val="000000"/>
                <w:szCs w:val="21"/>
              </w:rPr>
            </w:pPr>
            <w:r>
              <w:rPr>
                <w:b/>
                <w:color w:val="000000"/>
                <w:szCs w:val="21"/>
              </w:rPr>
              <w:t>2021-N1QMS-4021820</w:t>
            </w:r>
          </w:p>
          <w:p>
            <w:pPr>
              <w:spacing w:line="240" w:lineRule="exact"/>
              <w:jc w:val="center"/>
              <w:rPr>
                <w:b/>
                <w:color w:val="000000"/>
                <w:szCs w:val="21"/>
              </w:rPr>
            </w:pPr>
            <w:r>
              <w:rPr>
                <w:b/>
                <w:color w:val="000000"/>
                <w:szCs w:val="21"/>
              </w:rPr>
              <w:t>2021-N1EMS-4021820</w:t>
            </w:r>
          </w:p>
          <w:p>
            <w:pPr>
              <w:spacing w:line="240" w:lineRule="exact"/>
              <w:jc w:val="center"/>
              <w:rPr>
                <w:b/>
                <w:color w:val="000000"/>
                <w:szCs w:val="21"/>
              </w:rPr>
            </w:pPr>
            <w:r>
              <w:rPr>
                <w:b/>
                <w:color w:val="000000"/>
                <w:szCs w:val="21"/>
              </w:rPr>
              <w:t>2020-N1OHSMS-4021820</w:t>
            </w:r>
          </w:p>
        </w:tc>
        <w:tc>
          <w:tcPr>
            <w:tcW w:w="1620" w:type="dxa"/>
            <w:vAlign w:val="center"/>
          </w:tcPr>
          <w:p>
            <w:pPr>
              <w:spacing w:line="240" w:lineRule="exact"/>
              <w:jc w:val="center"/>
              <w:rPr>
                <w:b/>
                <w:color w:val="000000"/>
                <w:szCs w:val="21"/>
              </w:rPr>
            </w:pPr>
            <w:r>
              <w:rPr>
                <w:b/>
                <w:color w:val="000000"/>
                <w:szCs w:val="21"/>
              </w:rPr>
              <w:t>Q:34.02.00</w:t>
            </w:r>
          </w:p>
          <w:p>
            <w:pPr>
              <w:spacing w:line="240" w:lineRule="exact"/>
              <w:jc w:val="center"/>
              <w:rPr>
                <w:b/>
                <w:color w:val="000000"/>
                <w:szCs w:val="21"/>
              </w:rPr>
            </w:pPr>
            <w:r>
              <w:rPr>
                <w:b/>
                <w:color w:val="000000"/>
                <w:szCs w:val="21"/>
              </w:rPr>
              <w:t>E:34.02.00</w:t>
            </w:r>
          </w:p>
          <w:p>
            <w:pPr>
              <w:spacing w:line="240" w:lineRule="exact"/>
              <w:jc w:val="center"/>
              <w:rPr>
                <w:b/>
                <w:color w:val="000000"/>
                <w:szCs w:val="21"/>
              </w:rPr>
            </w:pPr>
            <w:r>
              <w:rPr>
                <w:b/>
                <w:color w:val="000000"/>
                <w:szCs w:val="21"/>
              </w:rPr>
              <w:t>O:34.02.00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39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620" w:type="dxa"/>
            <w:vAlign w:val="center"/>
          </w:tcPr>
          <w:p>
            <w:pPr>
              <w:spacing w:line="240" w:lineRule="exact"/>
              <w:jc w:val="center"/>
              <w:rPr>
                <w:b/>
                <w:color w:val="000000"/>
                <w:szCs w:val="21"/>
              </w:rPr>
            </w:pPr>
            <w:r>
              <w:rPr>
                <w:b/>
                <w:color w:val="000000"/>
                <w:szCs w:val="21"/>
              </w:rPr>
              <w:t>Q:34.02.00</w:t>
            </w:r>
          </w:p>
          <w:p>
            <w:pPr>
              <w:spacing w:line="240" w:lineRule="exact"/>
              <w:jc w:val="center"/>
              <w:rPr>
                <w:b/>
                <w:color w:val="000000"/>
                <w:szCs w:val="21"/>
              </w:rPr>
            </w:pPr>
            <w:r>
              <w:rPr>
                <w:b/>
                <w:color w:val="000000"/>
                <w:szCs w:val="21"/>
              </w:rPr>
              <w:t>E:34.02.00</w:t>
            </w:r>
          </w:p>
          <w:p>
            <w:pPr>
              <w:spacing w:line="240" w:lineRule="exact"/>
              <w:jc w:val="center"/>
              <w:rPr>
                <w:b/>
                <w:color w:val="000000"/>
                <w:szCs w:val="21"/>
              </w:rPr>
            </w:pPr>
            <w:r>
              <w:rPr>
                <w:b/>
                <w:color w:val="000000"/>
                <w:szCs w:val="21"/>
              </w:rPr>
              <w:t>O:34.02.00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39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62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390" w:type="dxa"/>
            <w:vAlign w:val="center"/>
          </w:tcPr>
          <w:p>
            <w:pPr>
              <w:rPr>
                <w:b/>
                <w:color w:val="000000"/>
                <w:szCs w:val="21"/>
              </w:rPr>
            </w:pPr>
          </w:p>
        </w:tc>
        <w:tc>
          <w:tcPr>
            <w:tcW w:w="162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390" w:type="dxa"/>
            <w:vAlign w:val="center"/>
          </w:tcPr>
          <w:p>
            <w:pPr>
              <w:rPr>
                <w:b/>
                <w:color w:val="000000"/>
                <w:szCs w:val="21"/>
              </w:rPr>
            </w:pPr>
            <w:r>
              <w:rPr>
                <w:rFonts w:hint="eastAsia"/>
                <w:b/>
                <w:color w:val="000000"/>
                <w:szCs w:val="21"/>
              </w:rPr>
              <w:t>工作单位</w:t>
            </w:r>
          </w:p>
        </w:tc>
        <w:tc>
          <w:tcPr>
            <w:tcW w:w="270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390" w:type="dxa"/>
            <w:vAlign w:val="center"/>
          </w:tcPr>
          <w:p>
            <w:pPr>
              <w:rPr>
                <w:b/>
                <w:color w:val="000000"/>
                <w:szCs w:val="21"/>
              </w:rPr>
            </w:pPr>
          </w:p>
        </w:tc>
        <w:tc>
          <w:tcPr>
            <w:tcW w:w="270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390" w:type="dxa"/>
            <w:vAlign w:val="center"/>
          </w:tcPr>
          <w:p>
            <w:pPr>
              <w:rPr>
                <w:b/>
                <w:color w:val="000000"/>
                <w:szCs w:val="21"/>
                <w:highlight w:val="green"/>
              </w:rPr>
            </w:pPr>
          </w:p>
        </w:tc>
        <w:tc>
          <w:tcPr>
            <w:tcW w:w="270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河北旋盈环境检测服务有限公司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河北省鹿泉区军鼎科技园14号楼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河北省鹿泉区军鼎科技园14号楼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李贞宇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18932928767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王进才</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李贞宇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检测报告</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jc w:val="both"/>
              <w:rPr>
                <w:rFonts w:ascii="宋体"/>
                <w:color w:val="000000"/>
                <w:szCs w:val="21"/>
              </w:rPr>
            </w:pPr>
            <w:r>
              <w:rPr>
                <w:rFonts w:hint="eastAsia" w:ascii="Times New Roman" w:hAnsi="Times New Roman" w:eastAsia="宋体" w:cs="Times New Roman"/>
                <w:color w:val="000000"/>
                <w:kern w:val="2"/>
                <w:sz w:val="21"/>
                <w:lang w:val="en-US" w:eastAsia="zh-CN" w:bidi="ar-SA"/>
              </w:rPr>
              <w:t>检测业务受理-</w:t>
            </w:r>
            <w:r>
              <w:rPr>
                <w:rFonts w:hint="eastAsia" w:cs="Times New Roman"/>
                <w:color w:val="000000"/>
                <w:kern w:val="2"/>
                <w:sz w:val="21"/>
                <w:lang w:val="en-US" w:eastAsia="zh-CN" w:bidi="ar-SA"/>
              </w:rPr>
              <w:t>-合同评审--签订委托检测协议--现场采样--样品接受与管理--编制检测方案--样品检测--数据处理--报告编制--报告发放--编制档案--发送至客户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sz w:val="20"/>
              </w:rPr>
              <w:t>资质范围内环境检测服务</w:t>
            </w:r>
          </w:p>
        </w:tc>
        <w:tc>
          <w:tcPr>
            <w:tcW w:w="2006" w:type="dxa"/>
            <w:gridSpan w:val="3"/>
            <w:vAlign w:val="center"/>
          </w:tcPr>
          <w:p>
            <w:pPr>
              <w:spacing w:line="240" w:lineRule="exact"/>
              <w:jc w:val="both"/>
              <w:rPr>
                <w:rFonts w:ascii="宋体" w:hAnsi="宋体"/>
                <w:b/>
                <w:color w:val="000000"/>
                <w:szCs w:val="21"/>
              </w:rPr>
            </w:pPr>
            <w:r>
              <w:rPr>
                <w:b/>
                <w:color w:val="000000"/>
                <w:szCs w:val="21"/>
              </w:rPr>
              <w:t>Q:34.02.00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sz w:val="20"/>
              </w:rPr>
            </w:pPr>
            <w:r>
              <w:rPr>
                <w:sz w:val="20"/>
              </w:rPr>
              <w:t>资质范围内环境检测服务所涉及场所的相关环境管理活动</w:t>
            </w:r>
          </w:p>
          <w:p>
            <w:pPr>
              <w:spacing w:line="400" w:lineRule="exact"/>
              <w:rPr>
                <w:rFonts w:ascii="宋体" w:hAnsi="宋体"/>
                <w:b/>
                <w:color w:val="000000"/>
                <w:szCs w:val="21"/>
              </w:rPr>
            </w:pPr>
          </w:p>
        </w:tc>
        <w:tc>
          <w:tcPr>
            <w:tcW w:w="2006" w:type="dxa"/>
            <w:gridSpan w:val="3"/>
            <w:vAlign w:val="center"/>
          </w:tcPr>
          <w:p>
            <w:pPr>
              <w:spacing w:line="240" w:lineRule="exact"/>
              <w:jc w:val="both"/>
              <w:rPr>
                <w:b/>
                <w:color w:val="000000"/>
                <w:szCs w:val="21"/>
              </w:rPr>
            </w:pPr>
            <w:r>
              <w:rPr>
                <w:b/>
                <w:color w:val="000000"/>
                <w:szCs w:val="21"/>
              </w:rPr>
              <w:t>E:34.02.00</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0"/>
              </w:rPr>
              <w:t>资质范围内环境检测服务所涉及场所的相关职业健康安全管理活动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29"/>
        <w:gridCol w:w="709"/>
        <w:gridCol w:w="1291"/>
        <w:gridCol w:w="21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2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291"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18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河北旋盈环境检测服务有限公司</w:t>
            </w:r>
            <w:r>
              <w:rPr>
                <w:rFonts w:hint="eastAsia"/>
                <w:sz w:val="21"/>
                <w:szCs w:val="21"/>
                <w:lang w:val="en-US" w:eastAsia="zh-CN"/>
              </w:rPr>
              <w:t>/</w:t>
            </w:r>
            <w:r>
              <w:rPr>
                <w:rFonts w:asciiTheme="minorEastAsia" w:hAnsiTheme="minorEastAsia" w:eastAsiaTheme="minorEastAsia"/>
                <w:sz w:val="20"/>
              </w:rPr>
              <w:t>河北省鹿泉区军鼎科技园14号楼</w:t>
            </w:r>
          </w:p>
        </w:tc>
        <w:tc>
          <w:tcPr>
            <w:tcW w:w="2129" w:type="dxa"/>
          </w:tcPr>
          <w:p>
            <w:pPr>
              <w:spacing w:before="40" w:after="40"/>
              <w:rPr>
                <w:rFonts w:eastAsia="黑体"/>
                <w:szCs w:val="21"/>
                <w:lang w:val="de-DE" w:eastAsia="ja-JP"/>
              </w:rPr>
            </w:pPr>
            <w:r>
              <w:rPr>
                <w:rFonts w:asciiTheme="minorEastAsia" w:hAnsiTheme="minorEastAsia" w:eastAsiaTheme="minorEastAsia"/>
                <w:sz w:val="20"/>
              </w:rPr>
              <w:t>河北省鹿泉区军鼎科技园14号楼</w:t>
            </w:r>
          </w:p>
        </w:tc>
        <w:tc>
          <w:tcPr>
            <w:tcW w:w="709" w:type="dxa"/>
            <w:vAlign w:val="center"/>
          </w:tcPr>
          <w:p>
            <w:pPr>
              <w:spacing w:before="40" w:after="40"/>
              <w:rPr>
                <w:rFonts w:hint="default" w:eastAsia="黑体"/>
                <w:szCs w:val="21"/>
                <w:lang w:val="en-US" w:eastAsia="zh-CN"/>
              </w:rPr>
            </w:pPr>
            <w:r>
              <w:rPr>
                <w:rFonts w:hint="eastAsia" w:eastAsia="黑体"/>
                <w:szCs w:val="21"/>
                <w:lang w:val="en-US" w:eastAsia="zh-CN"/>
              </w:rPr>
              <w:t>45</w:t>
            </w:r>
          </w:p>
        </w:tc>
        <w:tc>
          <w:tcPr>
            <w:tcW w:w="1291" w:type="dxa"/>
            <w:vAlign w:val="center"/>
          </w:tcPr>
          <w:p>
            <w:pPr>
              <w:pStyle w:val="20"/>
              <w:rPr>
                <w:rFonts w:eastAsia="黑体" w:cs="Arial"/>
                <w:sz w:val="21"/>
                <w:szCs w:val="21"/>
                <w:lang w:val="en-US" w:eastAsia="ja-JP"/>
              </w:rPr>
            </w:pPr>
            <w:r>
              <w:rPr>
                <w:sz w:val="20"/>
              </w:rPr>
              <w:t>资质范围内环境检测服务</w:t>
            </w:r>
          </w:p>
        </w:tc>
        <w:tc>
          <w:tcPr>
            <w:tcW w:w="2181" w:type="dxa"/>
            <w:vAlign w:val="center"/>
          </w:tcPr>
          <w:p>
            <w:pPr>
              <w:spacing w:before="40" w:after="40"/>
              <w:rPr>
                <w:rFonts w:hint="eastAsia" w:ascii="宋体" w:hAnsi="宋体" w:eastAsia="宋体" w:cs="Times New Roman"/>
                <w:b/>
                <w:bCs/>
                <w:spacing w:val="10"/>
                <w:kern w:val="2"/>
                <w:sz w:val="21"/>
                <w:szCs w:val="21"/>
                <w:lang w:val="en-US" w:eastAsia="zh-CN" w:bidi="ar-SA"/>
              </w:rPr>
            </w:pPr>
            <w:r>
              <w:rPr>
                <w:rFonts w:hint="eastAsia" w:ascii="宋体" w:hAnsi="宋体" w:eastAsia="宋体" w:cs="Times New Roman"/>
                <w:b/>
                <w:bCs/>
                <w:spacing w:val="10"/>
                <w:kern w:val="2"/>
                <w:sz w:val="21"/>
                <w:szCs w:val="21"/>
                <w:lang w:val="en-US" w:eastAsia="zh-CN" w:bidi="ar-SA"/>
              </w:rPr>
              <w:t>GB/T19001-2016</w:t>
            </w:r>
          </w:p>
          <w:p>
            <w:pPr>
              <w:pStyle w:val="2"/>
              <w:rPr>
                <w:rFonts w:hint="eastAsia" w:ascii="宋体" w:hAnsi="宋体"/>
                <w:b/>
                <w:sz w:val="21"/>
                <w:szCs w:val="21"/>
              </w:rPr>
            </w:pPr>
            <w:r>
              <w:rPr>
                <w:rFonts w:hint="eastAsia" w:ascii="宋体" w:hAnsi="宋体"/>
                <w:b/>
                <w:sz w:val="21"/>
                <w:szCs w:val="21"/>
              </w:rPr>
              <w:t>GB/T24001-2016</w:t>
            </w:r>
          </w:p>
          <w:p>
            <w:pPr>
              <w:pStyle w:val="2"/>
              <w:rPr>
                <w:rFonts w:hint="eastAsia" w:ascii="宋体" w:hAnsi="宋体"/>
                <w:b/>
                <w:sz w:val="21"/>
                <w:szCs w:val="21"/>
                <w:lang w:eastAsia="ja-JP"/>
              </w:rPr>
            </w:pPr>
            <w:r>
              <w:rPr>
                <w:rFonts w:hint="eastAsia" w:ascii="宋体" w:hAnsi="宋体"/>
                <w:b/>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hint="default" w:eastAsia="黑体"/>
                <w:szCs w:val="21"/>
                <w:lang w:val="en-US" w:eastAsia="zh-CN"/>
              </w:rPr>
            </w:pPr>
            <w:r>
              <w:rPr>
                <w:rFonts w:hint="eastAsia" w:asciiTheme="minorEastAsia" w:hAnsiTheme="minorEastAsia" w:eastAsiaTheme="minorEastAsia"/>
                <w:sz w:val="20"/>
                <w:lang w:val="en-US" w:eastAsia="zh-CN"/>
              </w:rPr>
              <w:t>临时场所</w:t>
            </w:r>
          </w:p>
        </w:tc>
        <w:tc>
          <w:tcPr>
            <w:tcW w:w="2129" w:type="dxa"/>
            <w:vAlign w:val="center"/>
          </w:tcPr>
          <w:p>
            <w:pPr>
              <w:rPr>
                <w:rFonts w:eastAsia="黑体"/>
                <w:szCs w:val="21"/>
                <w:lang w:eastAsia="ja-JP"/>
              </w:rPr>
            </w:pPr>
            <w:r>
              <w:rPr>
                <w:rFonts w:hint="eastAsia"/>
                <w:color w:val="000000"/>
                <w:lang w:eastAsia="zh-CN"/>
              </w:rPr>
              <w:t>鹿泉区军鼎科技园</w:t>
            </w:r>
            <w:r>
              <w:rPr>
                <w:rFonts w:hint="eastAsia"/>
                <w:color w:val="000000"/>
                <w:lang w:val="en-US" w:eastAsia="zh-CN"/>
              </w:rPr>
              <w:t>1号楼（</w:t>
            </w:r>
            <w:r>
              <w:rPr>
                <w:rFonts w:hint="eastAsia"/>
                <w:color w:val="000000"/>
                <w:lang w:eastAsia="zh-CN"/>
              </w:rPr>
              <w:t>石家庄新世纪生物工程有限公司</w:t>
            </w:r>
            <w:r>
              <w:rPr>
                <w:rFonts w:hint="eastAsia"/>
                <w:color w:val="000000"/>
                <w:lang w:val="en-US" w:eastAsia="zh-CN"/>
              </w:rPr>
              <w:t>）</w:t>
            </w:r>
          </w:p>
        </w:tc>
        <w:tc>
          <w:tcPr>
            <w:tcW w:w="709" w:type="dxa"/>
            <w:vAlign w:val="center"/>
          </w:tcPr>
          <w:p>
            <w:pPr>
              <w:spacing w:before="40" w:after="40"/>
              <w:rPr>
                <w:rFonts w:hint="eastAsia" w:eastAsia="黑体"/>
                <w:szCs w:val="21"/>
                <w:lang w:val="en-US" w:eastAsia="zh-CN"/>
              </w:rPr>
            </w:pPr>
            <w:r>
              <w:rPr>
                <w:rFonts w:hint="eastAsia" w:eastAsia="黑体"/>
                <w:szCs w:val="21"/>
                <w:lang w:val="en-US" w:eastAsia="zh-CN"/>
              </w:rPr>
              <w:t>2</w:t>
            </w:r>
          </w:p>
        </w:tc>
        <w:tc>
          <w:tcPr>
            <w:tcW w:w="1291" w:type="dxa"/>
            <w:vAlign w:val="center"/>
          </w:tcPr>
          <w:p>
            <w:pPr>
              <w:spacing w:before="40" w:after="40"/>
              <w:rPr>
                <w:rFonts w:eastAsia="黑体"/>
                <w:szCs w:val="21"/>
                <w:lang w:eastAsia="ja-JP"/>
              </w:rPr>
            </w:pPr>
            <w:r>
              <w:rPr>
                <w:sz w:val="20"/>
              </w:rPr>
              <w:t>资质范围内环境检测服务</w:t>
            </w:r>
          </w:p>
        </w:tc>
        <w:tc>
          <w:tcPr>
            <w:tcW w:w="2181" w:type="dxa"/>
            <w:vAlign w:val="center"/>
          </w:tcPr>
          <w:p>
            <w:pPr>
              <w:spacing w:before="40" w:after="40"/>
              <w:rPr>
                <w:rFonts w:hint="eastAsia" w:ascii="宋体" w:hAnsi="宋体" w:eastAsia="宋体" w:cs="Times New Roman"/>
                <w:b/>
                <w:bCs/>
                <w:spacing w:val="10"/>
                <w:kern w:val="2"/>
                <w:sz w:val="21"/>
                <w:szCs w:val="21"/>
                <w:lang w:val="en-US" w:eastAsia="zh-CN" w:bidi="ar-SA"/>
              </w:rPr>
            </w:pPr>
            <w:r>
              <w:rPr>
                <w:rFonts w:hint="eastAsia" w:ascii="宋体" w:hAnsi="宋体" w:eastAsia="宋体" w:cs="Times New Roman"/>
                <w:b/>
                <w:bCs/>
                <w:spacing w:val="10"/>
                <w:kern w:val="2"/>
                <w:sz w:val="21"/>
                <w:szCs w:val="21"/>
                <w:lang w:val="en-US" w:eastAsia="zh-CN" w:bidi="ar-SA"/>
              </w:rPr>
              <w:t>GB/T19001-2016</w:t>
            </w:r>
          </w:p>
          <w:p>
            <w:pPr>
              <w:pStyle w:val="2"/>
              <w:rPr>
                <w:rFonts w:hint="eastAsia" w:ascii="宋体" w:hAnsi="宋体"/>
                <w:b/>
                <w:sz w:val="21"/>
                <w:szCs w:val="21"/>
              </w:rPr>
            </w:pPr>
            <w:r>
              <w:rPr>
                <w:rFonts w:hint="eastAsia" w:ascii="宋体" w:hAnsi="宋体"/>
                <w:b/>
                <w:sz w:val="21"/>
                <w:szCs w:val="21"/>
              </w:rPr>
              <w:t>GB/T24001-2016</w:t>
            </w:r>
          </w:p>
          <w:p>
            <w:pPr>
              <w:spacing w:before="40" w:after="40"/>
              <w:rPr>
                <w:rFonts w:eastAsia="黑体"/>
                <w:szCs w:val="21"/>
                <w:lang w:eastAsia="ja-JP"/>
              </w:rPr>
            </w:pPr>
            <w:r>
              <w:rPr>
                <w:rFonts w:hint="eastAsia" w:ascii="宋体" w:hAnsi="宋体"/>
                <w:b/>
                <w:sz w:val="21"/>
                <w:szCs w:val="21"/>
              </w:rPr>
              <w:t>GB/T45001-2020</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129" w:type="dxa"/>
            <w:vAlign w:val="center"/>
          </w:tcPr>
          <w:p>
            <w:pPr>
              <w:spacing w:before="40" w:after="40"/>
              <w:rPr>
                <w:rFonts w:eastAsia="黑体"/>
                <w:szCs w:val="21"/>
                <w:lang w:eastAsia="ja-JP"/>
              </w:rPr>
            </w:pPr>
          </w:p>
        </w:tc>
        <w:tc>
          <w:tcPr>
            <w:tcW w:w="709" w:type="dxa"/>
            <w:vAlign w:val="center"/>
          </w:tcPr>
          <w:p>
            <w:pPr>
              <w:spacing w:before="40" w:after="40"/>
              <w:rPr>
                <w:rFonts w:eastAsia="黑体"/>
                <w:szCs w:val="21"/>
                <w:lang w:eastAsia="ja-JP"/>
              </w:rPr>
            </w:pPr>
          </w:p>
        </w:tc>
        <w:tc>
          <w:tcPr>
            <w:tcW w:w="1291" w:type="dxa"/>
            <w:vAlign w:val="center"/>
          </w:tcPr>
          <w:p>
            <w:pPr>
              <w:spacing w:before="40" w:after="40"/>
              <w:rPr>
                <w:rFonts w:eastAsia="黑体"/>
                <w:szCs w:val="21"/>
                <w:lang w:eastAsia="ja-JP"/>
              </w:rPr>
            </w:pPr>
          </w:p>
        </w:tc>
        <w:tc>
          <w:tcPr>
            <w:tcW w:w="218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129" w:type="dxa"/>
            <w:vAlign w:val="center"/>
          </w:tcPr>
          <w:p>
            <w:pPr>
              <w:spacing w:before="40" w:after="40"/>
              <w:rPr>
                <w:rFonts w:eastAsia="黑体"/>
                <w:szCs w:val="21"/>
                <w:lang w:eastAsia="ja-JP"/>
              </w:rPr>
            </w:pPr>
          </w:p>
        </w:tc>
        <w:tc>
          <w:tcPr>
            <w:tcW w:w="709" w:type="dxa"/>
            <w:vAlign w:val="center"/>
          </w:tcPr>
          <w:p>
            <w:pPr>
              <w:spacing w:before="40" w:after="40"/>
              <w:rPr>
                <w:rFonts w:eastAsia="黑体"/>
                <w:szCs w:val="21"/>
                <w:lang w:eastAsia="ja-JP"/>
              </w:rPr>
            </w:pPr>
          </w:p>
        </w:tc>
        <w:tc>
          <w:tcPr>
            <w:tcW w:w="1291" w:type="dxa"/>
            <w:vAlign w:val="center"/>
          </w:tcPr>
          <w:p>
            <w:pPr>
              <w:spacing w:before="40" w:after="40"/>
              <w:rPr>
                <w:rFonts w:eastAsia="黑体"/>
                <w:szCs w:val="21"/>
                <w:lang w:eastAsia="ja-JP"/>
              </w:rPr>
            </w:pPr>
          </w:p>
        </w:tc>
        <w:tc>
          <w:tcPr>
            <w:tcW w:w="21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129" w:type="dxa"/>
            <w:vAlign w:val="center"/>
          </w:tcPr>
          <w:p>
            <w:pPr>
              <w:spacing w:before="40" w:after="40"/>
              <w:rPr>
                <w:rFonts w:eastAsia="黑体"/>
                <w:szCs w:val="21"/>
                <w:lang w:eastAsia="ja-JP"/>
              </w:rPr>
            </w:pPr>
          </w:p>
        </w:tc>
        <w:tc>
          <w:tcPr>
            <w:tcW w:w="709" w:type="dxa"/>
            <w:vAlign w:val="center"/>
          </w:tcPr>
          <w:p>
            <w:pPr>
              <w:spacing w:before="40" w:after="40"/>
              <w:rPr>
                <w:rFonts w:eastAsia="黑体"/>
                <w:szCs w:val="21"/>
                <w:lang w:eastAsia="ja-JP"/>
              </w:rPr>
            </w:pPr>
          </w:p>
        </w:tc>
        <w:tc>
          <w:tcPr>
            <w:tcW w:w="1291" w:type="dxa"/>
            <w:vAlign w:val="center"/>
          </w:tcPr>
          <w:p>
            <w:pPr>
              <w:spacing w:before="40" w:after="40"/>
              <w:rPr>
                <w:rFonts w:eastAsia="黑体"/>
                <w:szCs w:val="21"/>
                <w:lang w:eastAsia="ja-JP"/>
              </w:rPr>
            </w:pPr>
          </w:p>
        </w:tc>
        <w:tc>
          <w:tcPr>
            <w:tcW w:w="21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4</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rPr>
              <w:t>年</w:t>
            </w:r>
            <w:r>
              <w:rPr>
                <w:rFonts w:hint="eastAsia" w:ascii="宋体" w:hAnsi="宋体"/>
                <w:b/>
                <w:color w:val="000000"/>
                <w:szCs w:val="21"/>
                <w:lang w:val="en-US" w:eastAsia="zh-CN"/>
              </w:rPr>
              <w:t xml:space="preserve"> 1</w:t>
            </w:r>
            <w:r>
              <w:rPr>
                <w:rFonts w:hint="eastAsia" w:ascii="宋体" w:hAnsi="宋体"/>
                <w:b/>
                <w:color w:val="000000"/>
                <w:szCs w:val="21"/>
              </w:rPr>
              <w:t>月</w:t>
            </w:r>
            <w:r>
              <w:rPr>
                <w:rFonts w:hint="eastAsia" w:ascii="宋体" w:hAnsi="宋体"/>
                <w:b/>
                <w:color w:val="000000"/>
                <w:szCs w:val="21"/>
                <w:lang w:val="en-US" w:eastAsia="zh-CN"/>
              </w:rPr>
              <w:t xml:space="preserve"> 19-20 </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12.已根据策划于2022年 1月 29日完成管理评审，包括所有标准要求的输入和输出,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现场确认，检测方法确认</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A3"/>
            </w:r>
            <w:r>
              <w:rPr>
                <w:rFonts w:hint="eastAsia" w:ascii="宋体"/>
                <w:color w:val="000000"/>
                <w:spacing w:val="-10"/>
                <w:szCs w:val="21"/>
              </w:rPr>
              <w:t>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2022-05-0</w:t>
            </w:r>
            <w:bookmarkEnd w:id="35"/>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hint="eastAsia" w:ascii="宋体" w:hAnsi="宋体" w:eastAsia="宋体"/>
          <w:b/>
          <w:bCs/>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r>
        <w:drawing>
          <wp:inline distT="0" distB="0" distL="114300" distR="114300">
            <wp:extent cx="5377815" cy="6788150"/>
            <wp:effectExtent l="0" t="0" r="698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377815" cy="6788150"/>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hint="eastAsia"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firstLine="660"/>
        <w:rPr>
          <w:rFonts w:hint="eastAsia" w:eastAsia="隶书"/>
          <w:color w:val="000000"/>
          <w:sz w:val="21"/>
          <w:szCs w:val="21"/>
        </w:rPr>
      </w:pP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受审核方：河北旋盈环境检测服务有限公司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5</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pStyle w:val="2"/>
        <w:rPr>
          <w:rFonts w:ascii="宋体"/>
          <w:b/>
          <w:color w:val="000000"/>
          <w:szCs w:val="21"/>
        </w:rPr>
      </w:pPr>
    </w:p>
    <w:p>
      <w:pPr>
        <w:pStyle w:val="2"/>
      </w:pPr>
    </w:p>
    <w:p>
      <w:pPr>
        <w:pStyle w:val="2"/>
      </w:pPr>
      <w:r>
        <w:drawing>
          <wp:inline distT="0" distB="0" distL="114300" distR="114300">
            <wp:extent cx="4291965" cy="5085715"/>
            <wp:effectExtent l="0" t="0" r="635" b="698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4291965" cy="5085715"/>
                    </a:xfrm>
                    <a:prstGeom prst="rect">
                      <a:avLst/>
                    </a:prstGeom>
                    <a:noFill/>
                    <a:ln>
                      <a:noFill/>
                    </a:ln>
                  </pic:spPr>
                </pic:pic>
              </a:graphicData>
            </a:graphic>
          </wp:inline>
        </w:drawing>
      </w:r>
      <w:bookmarkStart w:id="36" w:name="_GoBack"/>
      <w:bookmarkEnd w:id="36"/>
    </w:p>
    <w:p>
      <w:pPr>
        <w:pStyle w:val="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5110480</wp:posOffset>
              </wp:positionH>
              <wp:positionV relativeFrom="paragraph">
                <wp:posOffset>144145</wp:posOffset>
              </wp:positionV>
              <wp:extent cx="1032510" cy="256540"/>
              <wp:effectExtent l="0" t="0" r="8890" b="10160"/>
              <wp:wrapNone/>
              <wp:docPr id="2" name="文本框 1"/>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文本框 1" o:spid="_x0000_s1026" o:spt="202" type="#_x0000_t202" style="position:absolute;left:0pt;margin-left:402.4pt;margin-top:11.35pt;height:20.2pt;width:81.3pt;z-index:251659264;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ohZx3XAAAACQEAAA8AAAAAAAAAAQAgAAAAIgAAAGRycy9kb3ducmV2Lnht&#10;bFBLAQIUABQAAAAIAIdO4kApao6Y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06644"/>
    <w:rsid w:val="118E76B4"/>
    <w:rsid w:val="1630370F"/>
    <w:rsid w:val="29760B82"/>
    <w:rsid w:val="2C512D36"/>
    <w:rsid w:val="3D544290"/>
    <w:rsid w:val="484D76EB"/>
    <w:rsid w:val="4FCF1A97"/>
    <w:rsid w:val="6C9808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2022-05-09T02:57:29Z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