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0239-2022-EO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成都俊和科技有限公司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成都俊和科技有限公司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成都市武侯区二环路西一段100号1幢1单元17层13号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四川省成都市武侯区二环路西一段100号l幢l单元17楼13号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张正</w:t>
            </w:r>
            <w:bookmarkEnd w:id="10"/>
          </w:p>
        </w:tc>
        <w:tc>
          <w:tcPr>
            <w:tcW w:w="1313" w:type="dxa"/>
            <w:vAlign w:val="center"/>
          </w:tcPr>
          <w:p>
            <w:r>
              <w:rPr>
                <w:rFonts w:hint="eastAsia"/>
              </w:rPr>
              <w:t>电话.</w:t>
            </w:r>
          </w:p>
        </w:tc>
        <w:tc>
          <w:tcPr>
            <w:tcW w:w="2180" w:type="dxa"/>
            <w:vAlign w:val="center"/>
          </w:tcPr>
          <w:p>
            <w:bookmarkStart w:id="11" w:name="联系人电话"/>
            <w:r>
              <w:t>15503232345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周锡涛</w:t>
            </w:r>
            <w:bookmarkEnd w:id="13"/>
          </w:p>
        </w:tc>
        <w:tc>
          <w:tcPr>
            <w:tcW w:w="1313" w:type="dxa"/>
            <w:vAlign w:val="center"/>
          </w:tcPr>
          <w:p>
            <w:r>
              <w:rPr>
                <w:rFonts w:hint="eastAsia"/>
              </w:rPr>
              <w:t>管理者代表</w:t>
            </w:r>
          </w:p>
        </w:tc>
        <w:tc>
          <w:tcPr>
            <w:tcW w:w="2180" w:type="dxa"/>
          </w:tcPr>
          <w:p>
            <w:bookmarkStart w:id="14" w:name="管理者代表"/>
            <w:r>
              <w:t>周锡涛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确定顾客群体----商务洽谈----签订合同-----采购产品----产品交付----售后服务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2022年03月21日 上午至2022年03月21日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E：机械设备，电气设备，柴油发电机组，化工产品（许可范围内危险化学品）的销售所涉及场所的相关环境管理活动</w:t>
            </w:r>
          </w:p>
          <w:p>
            <w:r>
              <w:t>O：机械设备，电气设备，柴油发电机组，化工产品（许可范围内危险化学品）的销售所涉及场所的相关职业健康安全管理活动</w:t>
            </w:r>
          </w:p>
          <w:p>
            <w:r>
              <w:t>Q：机械设备，电气设备，柴油发电机组，化工产品（许可范围内危险化学品）的销售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E：29.10.07;29.11.05A</w:t>
            </w:r>
          </w:p>
          <w:p>
            <w:r>
              <w:t>O：29.10.07;29.11.05A</w:t>
            </w:r>
          </w:p>
          <w:p>
            <w:r>
              <w:t>Q：29.10.07;29.11.05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sz w:val="18"/>
                <w:szCs w:val="18"/>
                <w:lang w:val="en-US" w:eastAsia="zh-CN"/>
              </w:rPr>
            </w:pPr>
            <w:r>
              <w:rPr>
                <w:sz w:val="18"/>
                <w:szCs w:val="18"/>
              </w:rPr>
              <w:t>成都俊和科技有限公司</w:t>
            </w:r>
            <w:r>
              <w:rPr>
                <w:rFonts w:hint="eastAsia"/>
                <w:sz w:val="18"/>
                <w:szCs w:val="18"/>
                <w:lang w:val="en-US" w:eastAsia="zh-CN"/>
              </w:rPr>
              <w:t>/</w:t>
            </w:r>
            <w:r>
              <w:rPr>
                <w:rFonts w:asciiTheme="minorEastAsia" w:hAnsiTheme="minorEastAsia" w:eastAsiaTheme="minorEastAsia"/>
                <w:sz w:val="18"/>
                <w:szCs w:val="18"/>
              </w:rPr>
              <w:t>成都市武侯区二环路西一段100号1幢1单元17层13号</w:t>
            </w:r>
          </w:p>
        </w:tc>
        <w:tc>
          <w:tcPr>
            <w:tcW w:w="2267" w:type="dxa"/>
          </w:tcPr>
          <w:p>
            <w:pPr>
              <w:rPr>
                <w:sz w:val="18"/>
                <w:szCs w:val="18"/>
                <w:lang w:val="de-DE" w:eastAsia="ja-JP"/>
              </w:rPr>
            </w:pPr>
            <w:r>
              <w:rPr>
                <w:rFonts w:asciiTheme="minorEastAsia" w:hAnsiTheme="minorEastAsia" w:eastAsiaTheme="minorEastAsia"/>
                <w:sz w:val="18"/>
                <w:szCs w:val="18"/>
              </w:rPr>
              <w:t>成都市武侯区二环路西一段100号1幢1单元17层13号</w:t>
            </w:r>
          </w:p>
        </w:tc>
        <w:tc>
          <w:tcPr>
            <w:tcW w:w="571" w:type="dxa"/>
            <w:vAlign w:val="center"/>
          </w:tcPr>
          <w:p>
            <w:pPr>
              <w:rPr>
                <w:rFonts w:hint="default" w:eastAsia="宋体"/>
                <w:sz w:val="18"/>
                <w:szCs w:val="18"/>
                <w:lang w:val="en-US" w:eastAsia="zh-CN"/>
              </w:rPr>
            </w:pPr>
            <w:r>
              <w:rPr>
                <w:rFonts w:hint="eastAsia"/>
                <w:sz w:val="18"/>
                <w:szCs w:val="18"/>
                <w:lang w:val="en-US" w:eastAsia="zh-CN"/>
              </w:rPr>
              <w:t>10</w:t>
            </w:r>
          </w:p>
        </w:tc>
        <w:tc>
          <w:tcPr>
            <w:tcW w:w="2803" w:type="dxa"/>
            <w:vAlign w:val="center"/>
          </w:tcPr>
          <w:p>
            <w:pPr>
              <w:rPr>
                <w:sz w:val="18"/>
                <w:szCs w:val="18"/>
                <w:lang w:eastAsia="ja-JP"/>
              </w:rPr>
            </w:pPr>
            <w:r>
              <w:rPr>
                <w:sz w:val="18"/>
                <w:szCs w:val="18"/>
              </w:rPr>
              <w:t>机械设备，电气设备，柴油发电机组，化工产品（许可范围内危险化学品）的销售</w:t>
            </w:r>
          </w:p>
        </w:tc>
        <w:tc>
          <w:tcPr>
            <w:tcW w:w="669" w:type="dxa"/>
            <w:vAlign w:val="center"/>
          </w:tcPr>
          <w:p>
            <w:pPr>
              <w:rPr>
                <w:sz w:val="18"/>
                <w:szCs w:val="18"/>
                <w:lang w:eastAsia="ja-JP"/>
              </w:rPr>
            </w:pPr>
            <w:r>
              <w:rPr>
                <w:rFonts w:hint="eastAsia"/>
                <w:sz w:val="18"/>
                <w:szCs w:val="18"/>
                <w:lang w:eastAsia="ja-JP"/>
              </w:rPr>
              <w:t>ISO 9001:2015</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18"/>
                <w:szCs w:val="18"/>
                <w:lang w:val="en-US" w:eastAsia="ja-JP" w:bidi="ar-SA"/>
              </w:rPr>
            </w:pPr>
            <w:r>
              <w:rPr>
                <w:sz w:val="18"/>
                <w:szCs w:val="18"/>
              </w:rPr>
              <w:t>成都俊和科技有限公司</w:t>
            </w:r>
            <w:r>
              <w:rPr>
                <w:rFonts w:hint="eastAsia"/>
                <w:sz w:val="18"/>
                <w:szCs w:val="18"/>
                <w:lang w:val="en-US" w:eastAsia="zh-CN"/>
              </w:rPr>
              <w:t>/</w:t>
            </w:r>
            <w:r>
              <w:rPr>
                <w:rFonts w:asciiTheme="minorEastAsia" w:hAnsiTheme="minorEastAsia" w:eastAsiaTheme="minorEastAsia"/>
                <w:sz w:val="18"/>
                <w:szCs w:val="18"/>
              </w:rPr>
              <w:t>成都市武侯区二环路西一段100号1幢1单元17层13号</w:t>
            </w:r>
          </w:p>
        </w:tc>
        <w:tc>
          <w:tcPr>
            <w:tcW w:w="2267" w:type="dxa"/>
            <w:vAlign w:val="top"/>
          </w:tcPr>
          <w:p>
            <w:pPr>
              <w:rPr>
                <w:rFonts w:ascii="Times New Roman" w:hAnsi="Times New Roman" w:eastAsia="宋体" w:cs="Times New Roman"/>
                <w:kern w:val="2"/>
                <w:sz w:val="18"/>
                <w:szCs w:val="18"/>
                <w:lang w:val="de-DE" w:eastAsia="ja-JP" w:bidi="ar-SA"/>
              </w:rPr>
            </w:pPr>
            <w:r>
              <w:rPr>
                <w:rFonts w:asciiTheme="minorEastAsia" w:hAnsiTheme="minorEastAsia" w:eastAsiaTheme="minorEastAsia"/>
                <w:sz w:val="18"/>
                <w:szCs w:val="18"/>
              </w:rPr>
              <w:t>成都市武侯区二环路西一段100号1幢1单元17层13号</w:t>
            </w:r>
          </w:p>
        </w:tc>
        <w:tc>
          <w:tcPr>
            <w:tcW w:w="571" w:type="dxa"/>
            <w:vAlign w:val="center"/>
          </w:tcPr>
          <w:p>
            <w:pPr>
              <w:rPr>
                <w:rFonts w:hint="default" w:ascii="Times New Roman" w:hAnsi="Times New Roman" w:eastAsia="宋体" w:cs="Times New Roman"/>
                <w:kern w:val="2"/>
                <w:sz w:val="18"/>
                <w:szCs w:val="18"/>
                <w:lang w:val="en-US" w:eastAsia="ja-JP" w:bidi="ar-SA"/>
              </w:rPr>
            </w:pPr>
            <w:r>
              <w:rPr>
                <w:rFonts w:hint="eastAsia"/>
                <w:sz w:val="18"/>
                <w:szCs w:val="18"/>
                <w:lang w:val="en-US" w:eastAsia="zh-CN"/>
              </w:rPr>
              <w:t>10</w:t>
            </w:r>
          </w:p>
        </w:tc>
        <w:tc>
          <w:tcPr>
            <w:tcW w:w="2803" w:type="dxa"/>
            <w:vAlign w:val="center"/>
          </w:tcPr>
          <w:p>
            <w:pPr>
              <w:rPr>
                <w:rFonts w:ascii="Times New Roman" w:hAnsi="Times New Roman" w:eastAsia="宋体" w:cs="Times New Roman"/>
                <w:sz w:val="18"/>
                <w:szCs w:val="18"/>
                <w:lang w:eastAsia="ja-JP"/>
              </w:rPr>
            </w:pPr>
            <w:r>
              <w:rPr>
                <w:rFonts w:ascii="Times New Roman" w:hAnsi="Times New Roman" w:eastAsia="宋体" w:cs="Times New Roman"/>
                <w:sz w:val="18"/>
                <w:szCs w:val="18"/>
              </w:rPr>
              <w:t>机械设备，电气设备，柴油发电机组，化工产品（许可范围内危险化学品）的销售所涉及场所的相关环境管理活动</w:t>
            </w:r>
          </w:p>
        </w:tc>
        <w:tc>
          <w:tcPr>
            <w:tcW w:w="669" w:type="dxa"/>
            <w:vAlign w:val="center"/>
          </w:tcPr>
          <w:p>
            <w:pPr>
              <w:rPr>
                <w:rFonts w:ascii="Times New Roman" w:hAnsi="Times New Roman" w:eastAsia="宋体" w:cs="Times New Roman"/>
                <w:sz w:val="18"/>
                <w:szCs w:val="18"/>
                <w:lang w:eastAsia="ja-JP"/>
              </w:rPr>
            </w:pPr>
            <w:r>
              <w:rPr>
                <w:rFonts w:hint="eastAsia" w:ascii="Times New Roman" w:hAnsi="Times New Roman" w:eastAsia="宋体" w:cs="Times New Roman"/>
                <w:sz w:val="18"/>
                <w:szCs w:val="18"/>
              </w:rPr>
              <w:t>ISO 14001:2015</w:t>
            </w:r>
          </w:p>
        </w:tc>
        <w:tc>
          <w:tcPr>
            <w:tcW w:w="668" w:type="dxa"/>
            <w:shd w:val="clear" w:color="auto" w:fill="FFFFFF"/>
          </w:tcPr>
          <w:p>
            <w:r>
              <w:rPr>
                <w:rFonts w:hint="eastAsia" w:ascii="黑体" w:hAnsi="黑体" w:eastAsia="黑体"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18"/>
                <w:szCs w:val="18"/>
                <w:lang w:val="en-US" w:eastAsia="ja-JP" w:bidi="ar-SA"/>
              </w:rPr>
            </w:pPr>
            <w:r>
              <w:rPr>
                <w:sz w:val="18"/>
                <w:szCs w:val="18"/>
              </w:rPr>
              <w:t>成都俊和科技有限公司</w:t>
            </w:r>
            <w:r>
              <w:rPr>
                <w:rFonts w:hint="eastAsia"/>
                <w:sz w:val="18"/>
                <w:szCs w:val="18"/>
                <w:lang w:val="en-US" w:eastAsia="zh-CN"/>
              </w:rPr>
              <w:t>/</w:t>
            </w:r>
            <w:r>
              <w:rPr>
                <w:rFonts w:asciiTheme="minorEastAsia" w:hAnsiTheme="minorEastAsia" w:eastAsiaTheme="minorEastAsia"/>
                <w:sz w:val="18"/>
                <w:szCs w:val="18"/>
              </w:rPr>
              <w:t>成都市武侯区二环路西一段100号1幢1单元17层13号</w:t>
            </w:r>
          </w:p>
        </w:tc>
        <w:tc>
          <w:tcPr>
            <w:tcW w:w="2267" w:type="dxa"/>
            <w:vAlign w:val="top"/>
          </w:tcPr>
          <w:p>
            <w:pPr>
              <w:rPr>
                <w:rFonts w:ascii="Times New Roman" w:hAnsi="Times New Roman" w:eastAsia="宋体" w:cs="Times New Roman"/>
                <w:kern w:val="2"/>
                <w:sz w:val="18"/>
                <w:szCs w:val="18"/>
                <w:lang w:val="de-DE" w:eastAsia="ja-JP" w:bidi="ar-SA"/>
              </w:rPr>
            </w:pPr>
            <w:r>
              <w:rPr>
                <w:rFonts w:asciiTheme="minorEastAsia" w:hAnsiTheme="minorEastAsia" w:eastAsiaTheme="minorEastAsia"/>
                <w:sz w:val="18"/>
                <w:szCs w:val="18"/>
              </w:rPr>
              <w:t>成都市武侯区二环路西一段100号1幢1单元17层13号</w:t>
            </w:r>
          </w:p>
        </w:tc>
        <w:tc>
          <w:tcPr>
            <w:tcW w:w="571" w:type="dxa"/>
            <w:vAlign w:val="center"/>
          </w:tcPr>
          <w:p>
            <w:pPr>
              <w:rPr>
                <w:rFonts w:hint="default" w:ascii="Times New Roman" w:hAnsi="Times New Roman" w:eastAsia="宋体" w:cs="Times New Roman"/>
                <w:kern w:val="2"/>
                <w:sz w:val="18"/>
                <w:szCs w:val="18"/>
                <w:lang w:val="en-US" w:eastAsia="ja-JP" w:bidi="ar-SA"/>
              </w:rPr>
            </w:pPr>
            <w:r>
              <w:rPr>
                <w:rFonts w:hint="eastAsia"/>
                <w:sz w:val="18"/>
                <w:szCs w:val="18"/>
                <w:lang w:val="en-US" w:eastAsia="zh-CN"/>
              </w:rPr>
              <w:t>10</w:t>
            </w:r>
          </w:p>
        </w:tc>
        <w:tc>
          <w:tcPr>
            <w:tcW w:w="2803" w:type="dxa"/>
            <w:vAlign w:val="center"/>
          </w:tcPr>
          <w:p>
            <w:pPr>
              <w:rPr>
                <w:rFonts w:ascii="Times New Roman" w:hAnsi="Times New Roman" w:eastAsia="宋体" w:cs="Times New Roman"/>
                <w:sz w:val="18"/>
                <w:szCs w:val="18"/>
                <w:lang w:eastAsia="ja-JP"/>
              </w:rPr>
            </w:pPr>
            <w:r>
              <w:rPr>
                <w:rFonts w:hint="eastAsia" w:ascii="Times New Roman" w:hAnsi="Times New Roman" w:eastAsia="宋体" w:cs="Times New Roman"/>
                <w:sz w:val="18"/>
                <w:szCs w:val="18"/>
                <w:lang w:eastAsia="ja-JP"/>
              </w:rPr>
              <w:t>机械设备，电气设备，柴油发电机组，化工产品（许可范围内危险化学品）的销售所涉及场所的相关职业健康安全管理活动</w:t>
            </w:r>
          </w:p>
        </w:tc>
        <w:tc>
          <w:tcPr>
            <w:tcW w:w="669" w:type="dxa"/>
            <w:vAlign w:val="center"/>
          </w:tcPr>
          <w:p>
            <w:pPr>
              <w:rPr>
                <w:rFonts w:ascii="Times New Roman" w:hAnsi="Times New Roman" w:eastAsia="宋体" w:cs="Times New Roman"/>
                <w:sz w:val="18"/>
                <w:szCs w:val="18"/>
                <w:lang w:eastAsia="ja-JP"/>
              </w:rPr>
            </w:pPr>
            <w:r>
              <w:rPr>
                <w:rFonts w:hint="eastAsia" w:ascii="Times New Roman" w:hAnsi="Times New Roman" w:eastAsia="宋体" w:cs="Times New Roman"/>
                <w:sz w:val="18"/>
                <w:szCs w:val="18"/>
              </w:rPr>
              <w:t>ISO45001：20</w:t>
            </w:r>
            <w:r>
              <w:rPr>
                <w:rFonts w:hint="eastAsia" w:ascii="Times New Roman" w:hAnsi="Times New Roman" w:eastAsia="宋体" w:cs="Times New Roman"/>
                <w:sz w:val="18"/>
                <w:szCs w:val="18"/>
                <w:lang w:val="en-US" w:eastAsia="zh-CN"/>
              </w:rPr>
              <w:t>18</w:t>
            </w:r>
          </w:p>
        </w:tc>
        <w:tc>
          <w:tcPr>
            <w:tcW w:w="668" w:type="dxa"/>
            <w:shd w:val="clear" w:color="auto" w:fill="FFFFFF"/>
          </w:tcPr>
          <w:p>
            <w:r>
              <w:rPr>
                <w:rFonts w:hint="eastAsia" w:ascii="黑体" w:hAnsi="黑体" w:eastAsia="黑体" w:cs="黑体"/>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组长</w:t>
            </w:r>
          </w:p>
        </w:tc>
        <w:tc>
          <w:tcPr>
            <w:tcW w:w="711" w:type="dxa"/>
            <w:vAlign w:val="center"/>
          </w:tcPr>
          <w:p>
            <w:r>
              <w:t>男</w:t>
            </w:r>
          </w:p>
        </w:tc>
        <w:tc>
          <w:tcPr>
            <w:tcW w:w="3870" w:type="dxa"/>
            <w:vAlign w:val="center"/>
          </w:tcPr>
          <w:p>
            <w:r>
              <w:t>2021-N1EMS-3093566</w:t>
            </w:r>
          </w:p>
          <w:p>
            <w:r>
              <w:t>2019-N1OHSMS-2093566</w:t>
            </w:r>
          </w:p>
          <w:p>
            <w:r>
              <w:t>2019-N1QMS-3093566</w:t>
            </w:r>
          </w:p>
        </w:tc>
        <w:tc>
          <w:tcPr>
            <w:tcW w:w="2179" w:type="dxa"/>
            <w:vAlign w:val="center"/>
          </w:tcPr>
          <w:p>
            <w:r>
              <w:t>E:29.10.07,29.11.05A</w:t>
            </w:r>
          </w:p>
          <w:p>
            <w:r>
              <w:t>O:29.10.07,29.11.05A</w:t>
            </w:r>
          </w:p>
          <w:p>
            <w:r>
              <w:t>Q:29.10.07,29.11.05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2021-N1EMS-1265256</w:t>
            </w:r>
          </w:p>
          <w:p>
            <w:r>
              <w:t>2020-N1QMS-1265256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Q:29.10.07,29.11.05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eastAsia="zh-CN"/>
              </w:rPr>
              <w:t>上次不符合为供销部</w:t>
            </w:r>
            <w:r>
              <w:rPr>
                <w:rFonts w:hint="eastAsia"/>
                <w:lang w:val="en-US" w:eastAsia="zh-CN"/>
              </w:rPr>
              <w:t>Q8.5.1，整改有效。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r>
              <w:rPr>
                <w:sz w:val="20"/>
              </w:rPr>
              <w:t>机械设备，电气设备，柴油发电机组，化工产品（许可范围内危险化学品）的销售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机械设备，电气设备，柴油发电机组，化工产品（许可范围内危险化学品）的销售所涉及场所的相关环境管理活动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机械设备，电气设备，柴油发电机组，化工产品（许可范围内危险化学品）的销售所涉及场所的相关职业健康安全管理活动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2336" behindDoc="0" locked="0" layoutInCell="1" allowOverlap="1">
                  <wp:simplePos x="0" y="0"/>
                  <wp:positionH relativeFrom="column">
                    <wp:posOffset>268605</wp:posOffset>
                  </wp:positionH>
                  <wp:positionV relativeFrom="paragraph">
                    <wp:posOffset>52705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val="0"/>
                <w:bCs/>
                <w:color w:val="auto"/>
                <w:szCs w:val="21"/>
                <w:lang w:val="en-US" w:eastAsia="zh-CN"/>
              </w:rPr>
              <w:t>2022.3.21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价值观□文化□知识□绩效□工艺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最高管理者制定了文件化的管理体系方针：精益求精 创“俊和”新优势</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2310"/>
              <w:gridCol w:w="109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231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095"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53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shd w:val="clear" w:color="auto" w:fill="auto"/>
                  <w:vAlign w:val="center"/>
                </w:tcPr>
                <w:p>
                  <w:pPr>
                    <w:shd w:val="clear" w:color="auto" w:fill="C7DAF1" w:themeFill="text2" w:themeFillTint="32"/>
                    <w:rPr>
                      <w:rFonts w:hint="eastAsia"/>
                      <w:highlight w:val="none"/>
                      <w:lang w:val="en-US" w:eastAsia="zh-CN"/>
                    </w:rPr>
                  </w:pPr>
                  <w:r>
                    <w:rPr>
                      <w:rFonts w:hint="eastAsia"/>
                      <w:highlight w:val="none"/>
                      <w:lang w:val="en-GB" w:eastAsia="zh-CN"/>
                    </w:rPr>
                    <w:t>销售服务项目按约完成合格率100%</w:t>
                  </w:r>
                </w:p>
              </w:tc>
              <w:tc>
                <w:tcPr>
                  <w:tcW w:w="2310" w:type="dxa"/>
                  <w:shd w:val="clear" w:color="auto" w:fill="auto"/>
                  <w:vAlign w:val="center"/>
                </w:tcPr>
                <w:p>
                  <w:pPr>
                    <w:shd w:val="clear" w:color="auto" w:fill="C7DAF1" w:themeFill="text2" w:themeFillTint="32"/>
                    <w:rPr>
                      <w:rFonts w:hint="eastAsia"/>
                      <w:highlight w:val="none"/>
                      <w:lang w:val="en-GB" w:eastAsia="zh-CN"/>
                    </w:rPr>
                  </w:pPr>
                  <w:r>
                    <w:rPr>
                      <w:rFonts w:hint="eastAsia"/>
                      <w:highlight w:val="none"/>
                      <w:lang w:val="en-GB" w:eastAsia="zh-CN"/>
                    </w:rPr>
                    <w:t>合格数/服务总数*100%</w:t>
                  </w:r>
                </w:p>
              </w:tc>
              <w:tc>
                <w:tcPr>
                  <w:tcW w:w="1095" w:type="dxa"/>
                  <w:shd w:val="clear" w:color="auto" w:fill="auto"/>
                  <w:vAlign w:val="center"/>
                </w:tcPr>
                <w:p>
                  <w:pPr>
                    <w:shd w:val="clear" w:color="auto" w:fill="C7DAF1" w:themeFill="text2" w:themeFillTint="32"/>
                    <w:rPr>
                      <w:rFonts w:hint="eastAsia" w:eastAsia="宋体"/>
                      <w:highlight w:val="none"/>
                      <w:lang w:val="en-GB" w:eastAsia="zh-CN"/>
                    </w:rPr>
                  </w:pPr>
                  <w:r>
                    <w:rPr>
                      <w:rFonts w:hint="eastAsia"/>
                      <w:highlight w:val="none"/>
                      <w:lang w:val="en-GB" w:eastAsia="zh-CN"/>
                    </w:rPr>
                    <w:t>供销部</w:t>
                  </w:r>
                </w:p>
              </w:tc>
              <w:tc>
                <w:tcPr>
                  <w:tcW w:w="153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shd w:val="clear" w:color="auto" w:fill="auto"/>
                  <w:vAlign w:val="center"/>
                </w:tcPr>
                <w:p>
                  <w:pPr>
                    <w:shd w:val="clear" w:color="auto" w:fill="C7DAF1" w:themeFill="text2" w:themeFillTint="32"/>
                    <w:rPr>
                      <w:rFonts w:hint="eastAsia"/>
                      <w:highlight w:val="none"/>
                      <w:lang w:val="en-US" w:eastAsia="zh-CN"/>
                    </w:rPr>
                  </w:pPr>
                  <w:r>
                    <w:rPr>
                      <w:rFonts w:hint="eastAsia"/>
                      <w:highlight w:val="none"/>
                      <w:lang w:val="en-GB" w:eastAsia="zh-CN"/>
                    </w:rPr>
                    <w:t>顾客满意度得分≥90分</w:t>
                  </w:r>
                </w:p>
              </w:tc>
              <w:tc>
                <w:tcPr>
                  <w:tcW w:w="2310" w:type="dxa"/>
                  <w:shd w:val="clear" w:color="auto" w:fill="auto"/>
                  <w:vAlign w:val="center"/>
                </w:tcPr>
                <w:p>
                  <w:pPr>
                    <w:shd w:val="clear" w:color="auto" w:fill="C7DAF1" w:themeFill="text2" w:themeFillTint="32"/>
                    <w:rPr>
                      <w:rFonts w:hint="eastAsia"/>
                      <w:highlight w:val="none"/>
                      <w:lang w:val="en-US" w:eastAsia="zh-CN"/>
                    </w:rPr>
                  </w:pPr>
                  <w:r>
                    <w:rPr>
                      <w:rFonts w:hint="eastAsia"/>
                      <w:highlight w:val="none"/>
                      <w:lang w:val="en-GB" w:eastAsia="zh-CN"/>
                    </w:rPr>
                    <w:t>满意得分和/总调查数</w:t>
                  </w:r>
                </w:p>
              </w:tc>
              <w:tc>
                <w:tcPr>
                  <w:tcW w:w="1095" w:type="dxa"/>
                  <w:shd w:val="clear" w:color="auto" w:fill="auto"/>
                  <w:vAlign w:val="center"/>
                </w:tcPr>
                <w:p>
                  <w:pPr>
                    <w:shd w:val="clear" w:color="auto" w:fill="C7DAF1" w:themeFill="text2" w:themeFillTint="32"/>
                    <w:rPr>
                      <w:rFonts w:hint="eastAsia" w:ascii="宋体" w:hAnsi="宋体" w:eastAsia="宋体"/>
                      <w:highlight w:val="none"/>
                      <w:lang w:eastAsia="zh-CN"/>
                    </w:rPr>
                  </w:pPr>
                  <w:r>
                    <w:rPr>
                      <w:rFonts w:hint="eastAsia" w:ascii="宋体" w:hAnsi="宋体"/>
                      <w:highlight w:val="none"/>
                      <w:lang w:eastAsia="zh-CN"/>
                    </w:rPr>
                    <w:t>供销部</w:t>
                  </w:r>
                </w:p>
              </w:tc>
              <w:tc>
                <w:tcPr>
                  <w:tcW w:w="1534" w:type="dxa"/>
                  <w:shd w:val="clear" w:color="auto" w:fill="auto"/>
                  <w:vAlign w:val="center"/>
                </w:tcPr>
                <w:p>
                  <w:pPr>
                    <w:shd w:val="clear" w:color="auto" w:fill="C7DAF1" w:themeFill="text2" w:themeFillTint="32"/>
                    <w:jc w:val="center"/>
                    <w:rPr>
                      <w:rFonts w:hint="default" w:ascii="宋体" w:hAnsi="宋体" w:eastAsia="宋体"/>
                      <w:highlight w:val="none"/>
                      <w:lang w:val="en-US" w:eastAsia="zh-CN"/>
                    </w:rPr>
                  </w:pPr>
                  <w:r>
                    <w:rPr>
                      <w:rFonts w:hint="eastAsia" w:ascii="宋体" w:hAnsi="宋体"/>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shd w:val="clear" w:color="auto" w:fill="auto"/>
                </w:tcPr>
                <w:p>
                  <w:pPr>
                    <w:shd w:val="clear" w:color="auto" w:fill="C7DAF1" w:themeFill="text2" w:themeFillTint="32"/>
                    <w:rPr>
                      <w:highlight w:val="yellow"/>
                    </w:rPr>
                  </w:pPr>
                </w:p>
              </w:tc>
              <w:tc>
                <w:tcPr>
                  <w:tcW w:w="2310" w:type="dxa"/>
                  <w:shd w:val="clear" w:color="auto" w:fill="auto"/>
                  <w:vAlign w:val="center"/>
                </w:tcPr>
                <w:p>
                  <w:pPr>
                    <w:shd w:val="clear" w:color="auto" w:fill="C7DAF1" w:themeFill="text2" w:themeFillTint="32"/>
                    <w:rPr>
                      <w:rFonts w:ascii="宋体" w:hAnsi="宋体"/>
                      <w:highlight w:val="yellow"/>
                    </w:rPr>
                  </w:pPr>
                </w:p>
              </w:tc>
              <w:tc>
                <w:tcPr>
                  <w:tcW w:w="1095" w:type="dxa"/>
                  <w:shd w:val="clear" w:color="auto" w:fill="auto"/>
                  <w:vAlign w:val="center"/>
                </w:tcPr>
                <w:p>
                  <w:pPr>
                    <w:shd w:val="clear" w:color="auto" w:fill="C7DAF1" w:themeFill="text2" w:themeFillTint="32"/>
                    <w:rPr>
                      <w:rFonts w:ascii="宋体" w:hAnsi="宋体"/>
                      <w:highlight w:val="yellow"/>
                    </w:rPr>
                  </w:pPr>
                </w:p>
              </w:tc>
              <w:tc>
                <w:tcPr>
                  <w:tcW w:w="153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shd w:val="clear" w:color="auto" w:fill="auto"/>
                </w:tcPr>
                <w:p>
                  <w:pPr>
                    <w:shd w:val="clear" w:color="auto" w:fill="C7DAF1" w:themeFill="text2" w:themeFillTint="32"/>
                    <w:rPr>
                      <w:highlight w:val="yellow"/>
                    </w:rPr>
                  </w:pPr>
                </w:p>
              </w:tc>
              <w:tc>
                <w:tcPr>
                  <w:tcW w:w="2310" w:type="dxa"/>
                  <w:shd w:val="clear" w:color="auto" w:fill="auto"/>
                  <w:vAlign w:val="center"/>
                </w:tcPr>
                <w:p>
                  <w:pPr>
                    <w:shd w:val="clear" w:color="auto" w:fill="C7DAF1" w:themeFill="text2" w:themeFillTint="32"/>
                    <w:rPr>
                      <w:rFonts w:ascii="宋体" w:hAnsi="宋体"/>
                      <w:highlight w:val="yellow"/>
                    </w:rPr>
                  </w:pPr>
                </w:p>
              </w:tc>
              <w:tc>
                <w:tcPr>
                  <w:tcW w:w="1095" w:type="dxa"/>
                  <w:shd w:val="clear" w:color="auto" w:fill="auto"/>
                  <w:vAlign w:val="center"/>
                </w:tcPr>
                <w:p>
                  <w:pPr>
                    <w:shd w:val="clear" w:color="auto" w:fill="C7DAF1" w:themeFill="text2" w:themeFillTint="32"/>
                    <w:rPr>
                      <w:rFonts w:ascii="宋体" w:hAnsi="宋体"/>
                      <w:highlight w:val="yellow"/>
                    </w:rPr>
                  </w:pPr>
                </w:p>
              </w:tc>
              <w:tc>
                <w:tcPr>
                  <w:tcW w:w="1534" w:type="dxa"/>
                  <w:shd w:val="clear" w:color="auto" w:fill="auto"/>
                  <w:vAlign w:val="center"/>
                </w:tcPr>
                <w:p>
                  <w:pPr>
                    <w:shd w:val="clear" w:color="auto" w:fill="C7DAF1" w:themeFill="text2" w:themeFillTint="32"/>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2" w:type="dxa"/>
                  <w:shd w:val="clear" w:color="auto" w:fill="auto"/>
                </w:tcPr>
                <w:p>
                  <w:pPr>
                    <w:shd w:val="clear" w:color="auto" w:fill="C7DAF1" w:themeFill="text2" w:themeFillTint="32"/>
                    <w:rPr>
                      <w:highlight w:val="yellow"/>
                    </w:rPr>
                  </w:pPr>
                </w:p>
              </w:tc>
              <w:tc>
                <w:tcPr>
                  <w:tcW w:w="2310" w:type="dxa"/>
                  <w:shd w:val="clear" w:color="auto" w:fill="auto"/>
                  <w:vAlign w:val="center"/>
                </w:tcPr>
                <w:p>
                  <w:pPr>
                    <w:shd w:val="clear" w:color="auto" w:fill="C7DAF1" w:themeFill="text2" w:themeFillTint="32"/>
                    <w:rPr>
                      <w:rFonts w:ascii="宋体" w:hAnsi="宋体"/>
                      <w:highlight w:val="yellow"/>
                    </w:rPr>
                  </w:pPr>
                </w:p>
              </w:tc>
              <w:tc>
                <w:tcPr>
                  <w:tcW w:w="1095" w:type="dxa"/>
                  <w:shd w:val="clear" w:color="auto" w:fill="auto"/>
                  <w:vAlign w:val="center"/>
                </w:tcPr>
                <w:p>
                  <w:pPr>
                    <w:shd w:val="clear" w:color="auto" w:fill="C7DAF1" w:themeFill="text2" w:themeFillTint="32"/>
                    <w:rPr>
                      <w:rFonts w:ascii="宋体" w:hAnsi="宋体"/>
                      <w:highlight w:val="yellow"/>
                    </w:rPr>
                  </w:pPr>
                </w:p>
              </w:tc>
              <w:tc>
                <w:tcPr>
                  <w:tcW w:w="1534" w:type="dxa"/>
                  <w:shd w:val="clear" w:color="auto" w:fill="auto"/>
                  <w:vAlign w:val="center"/>
                </w:tcPr>
                <w:p>
                  <w:pPr>
                    <w:shd w:val="clear" w:color="auto" w:fill="C7DAF1" w:themeFill="text2" w:themeFillTint="32"/>
                    <w:jc w:val="center"/>
                    <w:rPr>
                      <w:rFonts w:ascii="宋体" w:hAnsi="宋体"/>
                      <w:highlight w:val="yellow"/>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highlight w:val="none"/>
                <w:lang w:eastAsia="zh-CN"/>
              </w:rPr>
              <w:t>建筑面积150平方米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（电脑、打印机、空调）</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机械设备，电气设备，柴油发电机组，化工产品（许可范围内危险化学品）的销</w:t>
                  </w:r>
                </w:p>
              </w:tc>
              <w:tc>
                <w:tcPr>
                  <w:tcW w:w="3665" w:type="dxa"/>
                </w:tcPr>
                <w:p>
                  <w:pPr>
                    <w:shd w:val="clear" w:color="auto" w:fill="C7DAF1" w:themeFill="text2" w:themeFillTint="32"/>
                    <w:jc w:val="left"/>
                    <w:rPr>
                      <w:rFonts w:hint="eastAsia" w:eastAsia="宋体"/>
                      <w:lang w:eastAsia="zh-CN"/>
                    </w:rPr>
                  </w:pPr>
                  <w:r>
                    <w:rPr>
                      <w:rFonts w:hint="eastAsia"/>
                      <w:lang w:eastAsia="zh-CN"/>
                    </w:rPr>
                    <w:t>销售过程</w:t>
                  </w:r>
                </w:p>
              </w:tc>
              <w:tc>
                <w:tcPr>
                  <w:tcW w:w="3265" w:type="dxa"/>
                </w:tcPr>
                <w:p>
                  <w:pPr>
                    <w:shd w:val="clear" w:color="auto" w:fill="C7DAF1" w:themeFill="text2" w:themeFillTint="32"/>
                    <w:jc w:val="left"/>
                    <w:rPr>
                      <w:rFonts w:hint="eastAsia" w:eastAsia="宋体"/>
                      <w:lang w:eastAsia="zh-CN"/>
                    </w:rPr>
                  </w:pPr>
                  <w:r>
                    <w:rPr>
                      <w:rFonts w:hint="eastAsia"/>
                      <w:lang w:eastAsia="zh-CN"/>
                    </w:rPr>
                    <w:t>产品质量、顾客满意度等</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通过年度策划于2022年1月16日至17日实施了质量管理体系内部审核，对质量管理体系的符合性和有效性进行了审核。内审发现的项不符合在本次审核前已完成整改。在公司内完成的这些审核是可信的。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最高管理者已按策划的时间间隔，在2022年2月24日对组织的质量管理体系进行了评审，以确保其持续的适宜性、充分性和有效性；管理评审输入、输出均按要求提供。并对提出的改进措施进行了落实。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0</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最高管理者制定了文件化的管理体系方针：坚持走可持续发展之路，倡导绿色环保思想，遵守法律法规，从产品销售到服务的全过程中，实行污染预防和持续改进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43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7" w:type="dxa"/>
                </w:tcPr>
                <w:p>
                  <w:pPr>
                    <w:shd w:val="clear" w:color="auto" w:fill="EBF1DE" w:themeFill="accent3" w:themeFillTint="32"/>
                  </w:pPr>
                  <w:r>
                    <w:rPr>
                      <w:rFonts w:hint="eastAsia"/>
                    </w:rPr>
                    <w:t>主要的风险或机遇描述</w:t>
                  </w:r>
                </w:p>
              </w:tc>
              <w:tc>
                <w:tcPr>
                  <w:tcW w:w="435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7"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潜在火灾</w:t>
                  </w:r>
                </w:p>
              </w:tc>
              <w:tc>
                <w:tcPr>
                  <w:tcW w:w="435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7" w:type="dxa"/>
                  <w:vAlign w:val="center"/>
                </w:tcPr>
                <w:p>
                  <w:pPr>
                    <w:shd w:val="clear" w:color="auto" w:fill="EBF1DE" w:themeFill="accent3" w:themeFillTint="32"/>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sz w:val="21"/>
                      <w:szCs w:val="21"/>
                    </w:rPr>
                    <w:t>固废排放</w:t>
                  </w:r>
                </w:p>
              </w:tc>
              <w:tc>
                <w:tcPr>
                  <w:tcW w:w="4358"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资源消耗□废水排放□废气排放□粉尘排放□危废排放□噪声排放□危化品泄露□压力容器爆炸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451"/>
              <w:gridCol w:w="124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环境目标</w:t>
                  </w:r>
                </w:p>
              </w:tc>
              <w:tc>
                <w:tcPr>
                  <w:tcW w:w="3451"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245"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56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固废综合处理率100%</w:t>
                  </w:r>
                </w:p>
              </w:tc>
              <w:tc>
                <w:tcPr>
                  <w:tcW w:w="345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GB" w:eastAsia="zh-CN" w:bidi="ar-SA"/>
                    </w:rPr>
                  </w:pPr>
                  <w:r>
                    <w:rPr>
                      <w:rFonts w:hint="eastAsia" w:ascii="宋体" w:hAnsi="宋体" w:eastAsia="宋体" w:cs="Times New Roman"/>
                      <w:lang w:val="en-US" w:eastAsia="zh-CN"/>
                    </w:rPr>
                    <w:t>采取分类收集、管理方案进行管理</w:t>
                  </w:r>
                </w:p>
              </w:tc>
              <w:tc>
                <w:tcPr>
                  <w:tcW w:w="1245"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GB" w:eastAsia="zh-CN"/>
                    </w:rPr>
                    <w:t>行政部</w:t>
                  </w:r>
                </w:p>
              </w:tc>
              <w:tc>
                <w:tcPr>
                  <w:tcW w:w="1564" w:type="dxa"/>
                  <w:shd w:val="clear" w:color="auto" w:fill="auto"/>
                  <w:vAlign w:val="center"/>
                </w:tcPr>
                <w:p>
                  <w:pPr>
                    <w:shd w:val="clear" w:color="auto" w:fill="EBF1DE" w:themeFill="accent3" w:themeFillTint="32"/>
                    <w:jc w:val="center"/>
                    <w:rPr>
                      <w:rFonts w:ascii="宋体" w:hAnsi="宋体" w:eastAsia="宋体" w:cs="Times New Roman"/>
                      <w:kern w:val="2"/>
                      <w:sz w:val="21"/>
                      <w:szCs w:val="24"/>
                      <w:lang w:val="en-GB" w:eastAsia="zh-CN" w:bidi="ar-SA"/>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火灾事故为0</w:t>
                  </w:r>
                </w:p>
              </w:tc>
              <w:tc>
                <w:tcPr>
                  <w:tcW w:w="3451"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通过管理方案和预案措施、应急演练进行管理</w:t>
                  </w:r>
                </w:p>
              </w:tc>
              <w:tc>
                <w:tcPr>
                  <w:tcW w:w="1245"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GB" w:eastAsia="zh-CN"/>
                    </w:rPr>
                    <w:t>行政部</w:t>
                  </w:r>
                </w:p>
              </w:tc>
              <w:tc>
                <w:tcPr>
                  <w:tcW w:w="156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451" w:type="dxa"/>
                  <w:shd w:val="clear" w:color="auto" w:fill="auto"/>
                  <w:vAlign w:val="center"/>
                </w:tcPr>
                <w:p>
                  <w:pPr>
                    <w:shd w:val="clear" w:color="auto" w:fill="EBF1DE" w:themeFill="accent3" w:themeFillTint="32"/>
                    <w:rPr>
                      <w:rFonts w:ascii="宋体" w:hAnsi="宋体"/>
                    </w:rPr>
                  </w:pPr>
                </w:p>
              </w:tc>
              <w:tc>
                <w:tcPr>
                  <w:tcW w:w="124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451" w:type="dxa"/>
                  <w:shd w:val="clear" w:color="auto" w:fill="auto"/>
                  <w:vAlign w:val="center"/>
                </w:tcPr>
                <w:p>
                  <w:pPr>
                    <w:shd w:val="clear" w:color="auto" w:fill="EBF1DE" w:themeFill="accent3" w:themeFillTint="32"/>
                    <w:rPr>
                      <w:rFonts w:ascii="宋体" w:hAnsi="宋体"/>
                    </w:rPr>
                  </w:pPr>
                </w:p>
              </w:tc>
              <w:tc>
                <w:tcPr>
                  <w:tcW w:w="124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451" w:type="dxa"/>
                  <w:shd w:val="clear" w:color="auto" w:fill="auto"/>
                  <w:vAlign w:val="center"/>
                </w:tcPr>
                <w:p>
                  <w:pPr>
                    <w:shd w:val="clear" w:color="auto" w:fill="EBF1DE" w:themeFill="accent3" w:themeFillTint="32"/>
                    <w:rPr>
                      <w:rFonts w:ascii="宋体" w:hAnsi="宋体"/>
                    </w:rPr>
                  </w:pPr>
                </w:p>
              </w:tc>
              <w:tc>
                <w:tcPr>
                  <w:tcW w:w="1245" w:type="dxa"/>
                  <w:shd w:val="clear" w:color="auto" w:fill="auto"/>
                  <w:vAlign w:val="center"/>
                </w:tcPr>
                <w:p>
                  <w:pPr>
                    <w:shd w:val="clear" w:color="auto" w:fill="EBF1DE" w:themeFill="accent3" w:themeFillTint="32"/>
                    <w:rPr>
                      <w:rFonts w:ascii="宋体" w:hAnsi="宋体"/>
                    </w:rPr>
                  </w:pPr>
                </w:p>
              </w:tc>
              <w:tc>
                <w:tcPr>
                  <w:tcW w:w="156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lang w:eastAsia="zh-CN"/>
              </w:rPr>
              <w:t>建筑面积150平方米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（电脑、打印机、空调）</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45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4455" w:type="dxa"/>
                </w:tcPr>
                <w:p>
                  <w:pPr>
                    <w:shd w:val="clear" w:color="auto" w:fill="EBF1DE" w:themeFill="accent3" w:themeFillTint="32"/>
                    <w:jc w:val="left"/>
                  </w:pPr>
                  <w:r>
                    <w:rPr>
                      <w:rFonts w:hint="eastAsia"/>
                    </w:rPr>
                    <w:t>控制措施</w:t>
                  </w:r>
                </w:p>
              </w:tc>
              <w:tc>
                <w:tcPr>
                  <w:tcW w:w="247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废气排放</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噪声排放</w:t>
                  </w:r>
                </w:p>
              </w:tc>
              <w:tc>
                <w:tcPr>
                  <w:tcW w:w="4455" w:type="dxa"/>
                </w:tcPr>
                <w:p>
                  <w:pPr>
                    <w:shd w:val="clear" w:color="auto" w:fill="EBF1DE" w:themeFill="accent3" w:themeFillTint="32"/>
                    <w:jc w:val="left"/>
                  </w:pPr>
                </w:p>
              </w:tc>
              <w:tc>
                <w:tcPr>
                  <w:tcW w:w="247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采取分类收集、管理方案</w:t>
                  </w:r>
                  <w:r>
                    <w:rPr>
                      <w:rFonts w:hint="eastAsia" w:ascii="Times New Roman" w:hAnsi="Times New Roman" w:eastAsia="宋体" w:cs="Times New Roman"/>
                      <w:lang w:val="en-US" w:eastAsia="zh-CN"/>
                    </w:rPr>
                    <w:t>进行</w:t>
                  </w:r>
                  <w:r>
                    <w:rPr>
                      <w:rFonts w:hint="eastAsia" w:ascii="Times New Roman" w:hAnsi="Times New Roman" w:eastAsia="宋体" w:cs="Times New Roman"/>
                    </w:rPr>
                    <w:t>管理</w:t>
                  </w: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火灾</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rPr>
                      <w:rFonts w:hint="eastAsia" w:eastAsia="宋体"/>
                      <w:lang w:eastAsia="zh-CN"/>
                    </w:rPr>
                  </w:pPr>
                  <w:r>
                    <w:rPr>
                      <w:rFonts w:hint="eastAsia"/>
                      <w:lang w:eastAsia="zh-CN"/>
                    </w:rPr>
                    <w:t>危化品泄露</w:t>
                  </w:r>
                </w:p>
              </w:tc>
              <w:tc>
                <w:tcPr>
                  <w:tcW w:w="445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通过</w:t>
                  </w:r>
                  <w:r>
                    <w:rPr>
                      <w:rFonts w:hint="eastAsia" w:ascii="Times New Roman" w:hAnsi="Times New Roman" w:eastAsia="宋体" w:cs="Times New Roman"/>
                    </w:rPr>
                    <w:t>管理方案和预案措施</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应急演练进行</w:t>
                  </w:r>
                  <w:r>
                    <w:rPr>
                      <w:rFonts w:hint="eastAsia" w:ascii="Times New Roman" w:hAnsi="Times New Roman" w:eastAsia="宋体" w:cs="Times New Roman"/>
                    </w:rPr>
                    <w:t>管理</w:t>
                  </w:r>
                </w:p>
              </w:tc>
              <w:tc>
                <w:tcPr>
                  <w:tcW w:w="247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highlight w:val="none"/>
                <w:lang w:eastAsia="zh-CN"/>
              </w:rPr>
              <w:t>2021年12月27日进行了的演练</w:t>
            </w:r>
            <w:r>
              <w:rPr>
                <w:rFonts w:hint="eastAsia"/>
                <w:highlight w:val="none"/>
              </w:rPr>
              <w:t>；</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highlight w:val="none"/>
                <w:lang w:eastAsia="zh-CN"/>
              </w:rPr>
            </w:pPr>
            <w:r>
              <w:rPr>
                <w:rFonts w:hint="eastAsia"/>
                <w:highlight w:val="none"/>
                <w:lang w:eastAsia="zh-CN"/>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highlight w:val="none"/>
                <w:lang w:eastAsia="zh-CN"/>
              </w:rPr>
              <w:t>2022年1月14日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通过年度策划于2022年1月16日至17日实施了环境管理体系内部审核，对环境管理体系的符合性和有效性进行了审核。内审发现的项不符合在本次审核前已完成整改。在公司内完成的这些审核是可信的。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最高管理者已按策划的时间间隔，在2022年2月24日对组织的环境管理体系进行了评审，以确保其持续的适宜性、充分性和有效性；管理评审输入、输出均按要求提供。并对提出的改进措施进行了落实。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rPr>
          <w:highlight w:val="none"/>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法律法规□技术□竞争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认知□价值观□文化□知识□绩效□工艺□设备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w:t>
            </w:r>
            <w:r>
              <w:rPr>
                <w:rFonts w:hint="eastAsia"/>
                <w:lang w:eastAsia="zh-CN"/>
              </w:rPr>
              <w:t>☑</w:t>
            </w:r>
            <w:r>
              <w:rPr>
                <w:rFonts w:hint="eastAsia"/>
              </w:rPr>
              <w:t>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最高管理者制定了文件化的职业健康安全管理体系方针：保障健康、安全销售、以人为本、永续发展、遵守法规、持续改进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员工代表是——汪勤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437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3" w:type="dxa"/>
                </w:tcPr>
                <w:p>
                  <w:r>
                    <w:rPr>
                      <w:rFonts w:hint="eastAsia"/>
                    </w:rPr>
                    <w:t>主要的风险或机遇描述</w:t>
                  </w:r>
                </w:p>
              </w:tc>
              <w:tc>
                <w:tcPr>
                  <w:tcW w:w="437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3" w:type="dxa"/>
                  <w:vAlign w:val="center"/>
                </w:tcPr>
                <w:p>
                  <w:pPr>
                    <w:jc w:val="left"/>
                    <w:rPr>
                      <w:rFonts w:hint="eastAsia"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火灾</w:t>
                  </w:r>
                </w:p>
              </w:tc>
              <w:tc>
                <w:tcPr>
                  <w:tcW w:w="4372"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3" w:type="dxa"/>
                  <w:vAlign w:val="center"/>
                </w:tcPr>
                <w:p>
                  <w:pPr>
                    <w:jc w:val="left"/>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b w:val="0"/>
                      <w:bCs w:val="0"/>
                      <w:color w:val="000000"/>
                      <w:sz w:val="21"/>
                      <w:szCs w:val="21"/>
                    </w:rPr>
                    <w:t>触电</w:t>
                  </w:r>
                </w:p>
              </w:tc>
              <w:tc>
                <w:tcPr>
                  <w:tcW w:w="4372"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3" w:type="dxa"/>
                  <w:vAlign w:val="center"/>
                </w:tcPr>
                <w:p>
                  <w:pPr>
                    <w:jc w:val="left"/>
                    <w:rPr>
                      <w:rFonts w:hint="eastAsia" w:ascii="宋体" w:hAnsi="宋体"/>
                      <w:b w:val="0"/>
                      <w:bCs w:val="0"/>
                      <w:color w:val="000000"/>
                      <w:sz w:val="21"/>
                      <w:szCs w:val="21"/>
                    </w:rPr>
                  </w:pPr>
                  <w:r>
                    <w:rPr>
                      <w:rFonts w:hint="eastAsia"/>
                      <w:lang w:eastAsia="zh-CN"/>
                    </w:rPr>
                    <w:t>危化品中毒、危化品爆炸</w:t>
                  </w:r>
                </w:p>
              </w:tc>
              <w:tc>
                <w:tcPr>
                  <w:tcW w:w="4372"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：危化品中毒、危化品爆炸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586"/>
              <w:gridCol w:w="1155"/>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586" w:type="dxa"/>
                  <w:shd w:val="clear" w:color="auto" w:fill="auto"/>
                </w:tcPr>
                <w:p>
                  <w:pPr>
                    <w:rPr>
                      <w:rFonts w:ascii="宋体" w:hAnsi="宋体"/>
                      <w:highlight w:val="none"/>
                    </w:rPr>
                  </w:pPr>
                  <w:r>
                    <w:rPr>
                      <w:rFonts w:hint="eastAsia" w:ascii="宋体" w:hAnsi="宋体"/>
                      <w:highlight w:val="none"/>
                    </w:rPr>
                    <w:t>控制措施</w:t>
                  </w:r>
                </w:p>
              </w:tc>
              <w:tc>
                <w:tcPr>
                  <w:tcW w:w="1155" w:type="dxa"/>
                  <w:shd w:val="clear" w:color="auto" w:fill="auto"/>
                </w:tcPr>
                <w:p>
                  <w:pPr>
                    <w:rPr>
                      <w:rFonts w:ascii="宋体" w:hAnsi="宋体"/>
                      <w:highlight w:val="none"/>
                    </w:rPr>
                  </w:pPr>
                  <w:r>
                    <w:rPr>
                      <w:rFonts w:hint="eastAsia" w:ascii="宋体" w:hAnsi="宋体"/>
                      <w:highlight w:val="none"/>
                    </w:rPr>
                    <w:t>责任部门</w:t>
                  </w:r>
                </w:p>
              </w:tc>
              <w:tc>
                <w:tcPr>
                  <w:tcW w:w="1519"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lang w:val="en-US" w:eastAsia="zh-CN"/>
                    </w:rPr>
                    <w:t>重大安全事故和伤亡事故为0</w:t>
                  </w:r>
                </w:p>
              </w:tc>
              <w:tc>
                <w:tcPr>
                  <w:tcW w:w="3586" w:type="dxa"/>
                  <w:shd w:val="clear" w:color="auto" w:fill="auto"/>
                  <w:vAlign w:val="center"/>
                </w:tcPr>
                <w:p>
                  <w:pPr>
                    <w:rPr>
                      <w:rFonts w:ascii="Times New Roman" w:hAnsi="Times New Roman"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155" w:type="dxa"/>
                  <w:shd w:val="clear" w:color="auto" w:fill="auto"/>
                  <w:vAlign w:val="center"/>
                </w:tcPr>
                <w:p>
                  <w:pPr>
                    <w:rPr>
                      <w:rFonts w:hint="eastAsia" w:ascii="Times New Roman" w:hAnsi="Times New Roman" w:eastAsia="宋体" w:cs="Times New Roman"/>
                      <w:kern w:val="2"/>
                      <w:sz w:val="21"/>
                      <w:szCs w:val="24"/>
                      <w:highlight w:val="none"/>
                      <w:lang w:val="en-GB" w:eastAsia="zh-CN" w:bidi="ar-SA"/>
                    </w:rPr>
                  </w:pPr>
                  <w:r>
                    <w:rPr>
                      <w:rFonts w:hint="eastAsia"/>
                      <w:highlight w:val="none"/>
                      <w:lang w:val="en-GB" w:eastAsia="zh-CN"/>
                    </w:rPr>
                    <w:t>供销部</w:t>
                  </w:r>
                </w:p>
              </w:tc>
              <w:tc>
                <w:tcPr>
                  <w:tcW w:w="1519" w:type="dxa"/>
                  <w:shd w:val="clear" w:color="auto" w:fill="auto"/>
                  <w:vAlign w:val="center"/>
                </w:tcPr>
                <w:p>
                  <w:pPr>
                    <w:jc w:val="center"/>
                    <w:rPr>
                      <w:rFonts w:hint="eastAsia" w:ascii="宋体" w:hAnsi="宋体" w:eastAsia="宋体" w:cs="Times New Roman"/>
                      <w:kern w:val="2"/>
                      <w:sz w:val="21"/>
                      <w:szCs w:val="24"/>
                      <w:highlight w:val="none"/>
                      <w:lang w:val="en-GB" w:eastAsia="zh-CN" w:bidi="ar-SA"/>
                    </w:rPr>
                  </w:pPr>
                  <w:r>
                    <w:rPr>
                      <w:rFonts w:hint="eastAsia" w:ascii="宋体" w:hAnsi="宋体"/>
                      <w:highlight w:val="none"/>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lang w:val="en-US" w:eastAsia="zh-CN"/>
                    </w:rPr>
                    <w:t>火灾事故为0</w:t>
                  </w:r>
                </w:p>
              </w:tc>
              <w:tc>
                <w:tcPr>
                  <w:tcW w:w="3586" w:type="dxa"/>
                  <w:shd w:val="clear" w:color="auto" w:fill="auto"/>
                  <w:vAlign w:val="center"/>
                </w:tcPr>
                <w:p>
                  <w:pPr>
                    <w:rPr>
                      <w:rFonts w:ascii="宋体" w:hAnsi="宋体" w:eastAsia="宋体" w:cs="Times New Roman"/>
                      <w:kern w:val="2"/>
                      <w:sz w:val="21"/>
                      <w:szCs w:val="24"/>
                      <w:lang w:val="en-US" w:eastAsia="zh-CN" w:bidi="ar-SA"/>
                    </w:rPr>
                  </w:pPr>
                  <w:r>
                    <w:rPr>
                      <w:rFonts w:hint="eastAsia" w:ascii="Times New Roman" w:hAnsi="Times New Roman" w:cs="Times New Roman"/>
                      <w:highlight w:val="none"/>
                      <w:lang w:val="en-US" w:eastAsia="zh-CN"/>
                    </w:rPr>
                    <w:t>通过管理方案和预案措施进行管理</w:t>
                  </w:r>
                </w:p>
              </w:tc>
              <w:tc>
                <w:tcPr>
                  <w:tcW w:w="1155"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eastAsia="zh-CN"/>
                    </w:rPr>
                    <w:t>行政部</w:t>
                  </w:r>
                </w:p>
              </w:tc>
              <w:tc>
                <w:tcPr>
                  <w:tcW w:w="1519" w:type="dxa"/>
                  <w:shd w:val="clear" w:color="auto" w:fill="auto"/>
                  <w:vAlign w:val="center"/>
                </w:tcPr>
                <w:p>
                  <w:pPr>
                    <w:jc w:val="center"/>
                    <w:rPr>
                      <w:rFonts w:ascii="宋体" w:hAnsi="宋体" w:eastAsia="宋体" w:cs="Times New Roman"/>
                      <w:kern w:val="2"/>
                      <w:sz w:val="21"/>
                      <w:szCs w:val="24"/>
                      <w:lang w:val="en-US" w:eastAsia="zh-CN" w:bidi="ar-SA"/>
                    </w:rPr>
                  </w:pPr>
                  <w:r>
                    <w:rPr>
                      <w:rFonts w:hint="eastAsia" w:ascii="宋体" w:hAnsi="宋体"/>
                      <w:lang w:val="en-GB"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586"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1519"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586"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1519"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586"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1519"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eastAsia="zh-CN"/>
              </w:rPr>
              <w:t>建筑面积150平方米</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（电脑、打印机、空调）</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lang w:eastAsia="zh-CN"/>
                    </w:rPr>
                    <w:t>☑</w:t>
                  </w:r>
                  <w:r>
                    <w:rPr>
                      <w:rFonts w:hint="eastAsia"/>
                    </w:rPr>
                    <w:t>穿戴劳保用品</w:t>
                  </w:r>
                </w:p>
              </w:tc>
              <w:tc>
                <w:tcPr>
                  <w:tcW w:w="2205" w:type="dxa"/>
                </w:tcPr>
                <w:p>
                  <w:pPr>
                    <w:jc w:val="left"/>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rPr>
                    <w:t>制定管理方案，应急预案并演练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highlight w:val="none"/>
                <w:lang w:eastAsia="zh-CN"/>
              </w:rPr>
              <w:t>2021年12月27日进行了的演练</w:t>
            </w:r>
            <w:r>
              <w:rPr>
                <w:rFonts w:hint="eastAsia"/>
                <w:highlight w:val="none"/>
              </w:rPr>
              <w:t>；</w:t>
            </w:r>
            <w:r>
              <w:rPr>
                <w:rFonts w:hint="eastAsia"/>
              </w:rPr>
              <w:t>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eastAsia="宋体"/>
                <w:lang w:eastAsia="zh-CN"/>
              </w:rPr>
            </w:pPr>
            <w:r>
              <w:rPr>
                <w:rFonts w:hint="eastAsia"/>
                <w:lang w:eastAsia="zh-CN"/>
              </w:rPr>
              <w:t>实施合规性评价的时间：</w:t>
            </w:r>
          </w:p>
          <w:p>
            <w:r>
              <w:rPr>
                <w:rFonts w:hint="eastAsia" w:ascii="Wingdings" w:hAnsi="Wingdings"/>
                <w:lang w:eastAsia="zh-CN"/>
              </w:rPr>
              <w:t>☑</w:t>
            </w:r>
            <w:r>
              <w:rPr>
                <w:rFonts w:hint="eastAsia"/>
              </w:rPr>
              <w:t>定期（每年）：</w:t>
            </w:r>
            <w:r>
              <w:rPr>
                <w:rFonts w:hint="eastAsia"/>
                <w:lang w:eastAsia="zh-CN"/>
              </w:rPr>
              <w:t>2022年1月14日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1月16日至17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最高管理者已按策划的时间间隔，在2022年2月24日对组织的职业健康安全管理体系进行了评审，以确保其持续的适宜性、充分性和有效性；管理评审输入、输出均按要求提供。并对提出的改进措施进行了落实。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rPr>
          <w:highlight w:val="none"/>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0</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bookmarkStart w:id="34" w:name="_GoBack"/>
      <w:bookmarkEnd w:id="34"/>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094D29"/>
    <w:rsid w:val="01883901"/>
    <w:rsid w:val="03547F3F"/>
    <w:rsid w:val="03737614"/>
    <w:rsid w:val="03A951F3"/>
    <w:rsid w:val="04FB74DF"/>
    <w:rsid w:val="06336A58"/>
    <w:rsid w:val="09571347"/>
    <w:rsid w:val="09F04954"/>
    <w:rsid w:val="0A994714"/>
    <w:rsid w:val="0C4C3AE9"/>
    <w:rsid w:val="0E3D0E43"/>
    <w:rsid w:val="0E7B6D15"/>
    <w:rsid w:val="0ECF2DB5"/>
    <w:rsid w:val="105E035B"/>
    <w:rsid w:val="11DA5AB3"/>
    <w:rsid w:val="12905EB9"/>
    <w:rsid w:val="13CA1519"/>
    <w:rsid w:val="14143437"/>
    <w:rsid w:val="17DC0605"/>
    <w:rsid w:val="1A515C88"/>
    <w:rsid w:val="1BBE136F"/>
    <w:rsid w:val="1BCD6688"/>
    <w:rsid w:val="1CB511A2"/>
    <w:rsid w:val="1D0D1436"/>
    <w:rsid w:val="1DA83FF8"/>
    <w:rsid w:val="2074530F"/>
    <w:rsid w:val="22611949"/>
    <w:rsid w:val="248F4E23"/>
    <w:rsid w:val="25A1384C"/>
    <w:rsid w:val="26282E39"/>
    <w:rsid w:val="26B5096A"/>
    <w:rsid w:val="26BE23D0"/>
    <w:rsid w:val="26D62DEF"/>
    <w:rsid w:val="27DF40A6"/>
    <w:rsid w:val="283B2CB1"/>
    <w:rsid w:val="283C7070"/>
    <w:rsid w:val="290C4C94"/>
    <w:rsid w:val="29627742"/>
    <w:rsid w:val="2A524714"/>
    <w:rsid w:val="2B4D2282"/>
    <w:rsid w:val="2E5B5AE2"/>
    <w:rsid w:val="2F1907BD"/>
    <w:rsid w:val="300849DC"/>
    <w:rsid w:val="329876A4"/>
    <w:rsid w:val="34992271"/>
    <w:rsid w:val="369D5235"/>
    <w:rsid w:val="3797463F"/>
    <w:rsid w:val="3801798E"/>
    <w:rsid w:val="38DD3004"/>
    <w:rsid w:val="3AB93665"/>
    <w:rsid w:val="3ACA1516"/>
    <w:rsid w:val="3B022AB5"/>
    <w:rsid w:val="3B05393F"/>
    <w:rsid w:val="3E207FD6"/>
    <w:rsid w:val="40FA2BFE"/>
    <w:rsid w:val="41684B3A"/>
    <w:rsid w:val="41967399"/>
    <w:rsid w:val="433A2FCC"/>
    <w:rsid w:val="43C65928"/>
    <w:rsid w:val="44A143A1"/>
    <w:rsid w:val="45063E0A"/>
    <w:rsid w:val="47CD5074"/>
    <w:rsid w:val="48915173"/>
    <w:rsid w:val="48A759E8"/>
    <w:rsid w:val="4940184F"/>
    <w:rsid w:val="4989182E"/>
    <w:rsid w:val="4A764326"/>
    <w:rsid w:val="4AA5418B"/>
    <w:rsid w:val="4AAD2B10"/>
    <w:rsid w:val="4B013980"/>
    <w:rsid w:val="4CC9585A"/>
    <w:rsid w:val="4CF32DA2"/>
    <w:rsid w:val="4D710D8B"/>
    <w:rsid w:val="4DF548FC"/>
    <w:rsid w:val="4DF55974"/>
    <w:rsid w:val="4E235ED6"/>
    <w:rsid w:val="4E312B70"/>
    <w:rsid w:val="4E5959D6"/>
    <w:rsid w:val="4E756995"/>
    <w:rsid w:val="503347AE"/>
    <w:rsid w:val="52026987"/>
    <w:rsid w:val="524C02F2"/>
    <w:rsid w:val="527D5F08"/>
    <w:rsid w:val="54554E92"/>
    <w:rsid w:val="54E242FA"/>
    <w:rsid w:val="552870FF"/>
    <w:rsid w:val="562E1532"/>
    <w:rsid w:val="56B73D78"/>
    <w:rsid w:val="57407733"/>
    <w:rsid w:val="58361854"/>
    <w:rsid w:val="5B1F3B03"/>
    <w:rsid w:val="5D1273B7"/>
    <w:rsid w:val="5F463F8C"/>
    <w:rsid w:val="5F4F3735"/>
    <w:rsid w:val="617701F5"/>
    <w:rsid w:val="617A1A94"/>
    <w:rsid w:val="61DB16AE"/>
    <w:rsid w:val="61E64C2D"/>
    <w:rsid w:val="61F555BE"/>
    <w:rsid w:val="62344A70"/>
    <w:rsid w:val="65600554"/>
    <w:rsid w:val="668E693C"/>
    <w:rsid w:val="66D11AB4"/>
    <w:rsid w:val="673B1B2B"/>
    <w:rsid w:val="6A4E644F"/>
    <w:rsid w:val="6A9130E4"/>
    <w:rsid w:val="6AC17254"/>
    <w:rsid w:val="6B4F3F91"/>
    <w:rsid w:val="6C3167E1"/>
    <w:rsid w:val="6C86328A"/>
    <w:rsid w:val="6D291FAD"/>
    <w:rsid w:val="6DE3311E"/>
    <w:rsid w:val="70A47AAD"/>
    <w:rsid w:val="72584659"/>
    <w:rsid w:val="72B81143"/>
    <w:rsid w:val="74406B6D"/>
    <w:rsid w:val="746C1711"/>
    <w:rsid w:val="74F811F5"/>
    <w:rsid w:val="750337C6"/>
    <w:rsid w:val="75914F92"/>
    <w:rsid w:val="767A2DB8"/>
    <w:rsid w:val="796A4B47"/>
    <w:rsid w:val="79975AC4"/>
    <w:rsid w:val="7A415D20"/>
    <w:rsid w:val="7B313B11"/>
    <w:rsid w:val="7C001715"/>
    <w:rsid w:val="7E3E411D"/>
    <w:rsid w:val="7F855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2022-03-21T07:42:19Z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