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成都俊和科技有限公司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29.10.07,29.11.05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29.10.07,29.11.05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确定顾客群体----商务洽谈----签订合同-----采购产品----产品交付----售后服务；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特殊过程：销售过程。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销售产品风险：产品质量不合格、交付不准时，货款回收等风险；</w:t>
            </w:r>
            <w:r>
              <w:rPr>
                <w:rFonts w:hint="eastAsia"/>
                <w:b/>
                <w:sz w:val="20"/>
              </w:rPr>
              <w:t>销售过程</w:t>
            </w:r>
            <w:r>
              <w:rPr>
                <w:rFonts w:hint="eastAsia"/>
                <w:b/>
                <w:sz w:val="20"/>
                <w:lang w:eastAsia="zh-CN"/>
              </w:rPr>
              <w:t>、采购过程</w:t>
            </w:r>
            <w:r>
              <w:rPr>
                <w:rFonts w:hint="eastAsia"/>
                <w:b/>
                <w:sz w:val="20"/>
              </w:rPr>
              <w:t>等控制风险，控制措施：人员培训合格上岗，按作业指导书实施。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法律法规：中华人民共和国合同法、中华人民共和国劳动法、中华人民共和国安全消防法、中华人民共和国产品质量法、中华人民共和国标准化法、中华人民共和国环境保护法等。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产品执行标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准:电线组件GB15934-2008GB/T26219-2010；紧急制动装置GB/T14048.14-2006；齿轮几何要素代号 GB/T 3374.1-2010；基础标准 GB/T 2821-2003；几何学定义 GB/T 3374.2-2011 ；IEC60076-11:2004干式电力变压器；GB1094.1-1996电力变压器；GB1094.11-2007干式电力变压器；GB/T10228-2008干式电力变压器技术参数；GB/T7409-1997 同步电机励磁系统；AQ3003-2005；AQ3004-2005等。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机械及电气设备检验项目：规格/型号、外观质量、性能参数等；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化工产品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检验项目：规格/供应商、外观及包装质量、产品安全使用说明书等。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191770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170180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成都俊和科技有限公司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29.10.07,29.11.05A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29.10.07,29.11.05A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确定顾客群体----商务洽谈----签订合同-----采购产品----产品交付----售后服务；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特殊过程：销售过程。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重要环境因素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：潜在火灾、固废的排放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危化品泄漏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控制措施：采取分类收集、管理方案和预案措施管理。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中华人民共和国环境保护法、四川省《中华人民共和国大气污染防治法》实施办法、大气污染物综合排放标准（GB16297-1996）二级、工业企业厂界环境噪声排放标准（GB12348-2008）2类等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282575</wp:posOffset>
                  </wp:positionV>
                  <wp:extent cx="371475" cy="341630"/>
                  <wp:effectExtent l="0" t="0" r="9525" b="127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840105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5525F81"/>
    <w:rsid w:val="0A2148F3"/>
    <w:rsid w:val="0A486323"/>
    <w:rsid w:val="0B662F05"/>
    <w:rsid w:val="11F72B09"/>
    <w:rsid w:val="12B409FA"/>
    <w:rsid w:val="15D81154"/>
    <w:rsid w:val="1C190C52"/>
    <w:rsid w:val="1C955CCD"/>
    <w:rsid w:val="1CC17F9B"/>
    <w:rsid w:val="23C07595"/>
    <w:rsid w:val="26FE003E"/>
    <w:rsid w:val="28FE3CE0"/>
    <w:rsid w:val="2CE66931"/>
    <w:rsid w:val="2D507CD5"/>
    <w:rsid w:val="38E05B0D"/>
    <w:rsid w:val="39DE379D"/>
    <w:rsid w:val="3B4007CD"/>
    <w:rsid w:val="3D8E5820"/>
    <w:rsid w:val="3E7B70C5"/>
    <w:rsid w:val="3E932C1B"/>
    <w:rsid w:val="3F520ACF"/>
    <w:rsid w:val="4226071D"/>
    <w:rsid w:val="433A1689"/>
    <w:rsid w:val="4B257098"/>
    <w:rsid w:val="4B731DB3"/>
    <w:rsid w:val="4E4F1991"/>
    <w:rsid w:val="4E813C08"/>
    <w:rsid w:val="504B2DEF"/>
    <w:rsid w:val="5FAB005C"/>
    <w:rsid w:val="60206354"/>
    <w:rsid w:val="61135EB8"/>
    <w:rsid w:val="61F5736C"/>
    <w:rsid w:val="63343247"/>
    <w:rsid w:val="6409248B"/>
    <w:rsid w:val="6E2A56C2"/>
    <w:rsid w:val="70197CC4"/>
    <w:rsid w:val="740D1C1E"/>
    <w:rsid w:val="743F2D55"/>
    <w:rsid w:val="76896296"/>
    <w:rsid w:val="787119EB"/>
    <w:rsid w:val="7D2D1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2022-03-21T07:38:51Z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