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21"/>
        <w:gridCol w:w="6739"/>
        <w:gridCol w:w="13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无锡康宇水处理设备有限公司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FSMS 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)阶段审核□再认证□监督（）次□证书转换□特殊审核□其他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查综合管理部、人事行政部、财务部的能源目标指标，未能提供较明晰的目标指标的分解与考核。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En/6.2    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  <w:t>查综合管理部提供的编号为：JL/JDB/021《法律、法规及其它要求适用性识别单》和《法律法规及其他要求合规性评价报告》，未能将标准GB∕T 36713-2018《 能源管理体系 能源基准和能源绩效参数》“工业和信息化部发布《高耗能落后机电设备（产品）淘汰目录（第四批）》”和能源的江苏无锡地方法规进行识别、收集。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En/4.2</w:t>
            </w:r>
          </w:p>
          <w:p>
            <w:pPr>
              <w:pStyle w:val="2"/>
              <w:ind w:firstLine="422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  <w:t>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963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2022-04-23T08:59:43Z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2052-11.1.0.11411</vt:lpwstr>
  </property>
</Properties>
</file>