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11623-2024-R08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郑州百特家具有限公司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91410122MA3X5LEN4X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33635-2017 《绿色制造 制造企业绿色供应链管理 导则》、GB/T 39257-2020 《绿色制造 制造企业绿色供应链管理  评价规范》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郑州百特家具有限公司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郑州市中牟县官渡镇仓狼路许村路口（建业足球俱乐部对面）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郑州市中牟县官渡镇仓狼路许村路口（建业足球俱乐部对面）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R08:家具（办公家具、校用家具、公寓家具、实验室家具、公共场所家具） 的生产和销售所涉及的绿色供应链相关管理活动（一级）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929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