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21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1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rPr>
              <w:t>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曾霞</w:t>
            </w:r>
            <w:bookmarkEnd w:id="0"/>
            <w:r>
              <w:rPr>
                <w:rFonts w:hint="eastAsia"/>
                <w:sz w:val="24"/>
                <w:szCs w:val="24"/>
                <w:lang w:eastAsia="zh-CN"/>
              </w:rPr>
              <w:t>、</w:t>
            </w:r>
            <w:r>
              <w:rPr>
                <w:rFonts w:hint="eastAsia"/>
                <w:sz w:val="24"/>
                <w:szCs w:val="24"/>
                <w:lang w:val="en-US" w:eastAsia="zh-CN"/>
              </w:rPr>
              <w:t xml:space="preserve">徐江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4" w:type="dxa"/>
            <w:vMerge w:val="continue"/>
            <w:vAlign w:val="center"/>
          </w:tcPr>
          <w:p/>
        </w:tc>
        <w:tc>
          <w:tcPr>
            <w:tcW w:w="1216"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r>
              <w:rPr>
                <w:rFonts w:hint="eastAsia"/>
                <w:sz w:val="24"/>
                <w:szCs w:val="24"/>
              </w:rPr>
              <w:t>劳世中</w:t>
            </w:r>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2" w:name="审核日期"/>
            <w:r>
              <w:t>2022年03月21日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4" w:type="dxa"/>
            <w:vMerge w:val="continue"/>
            <w:vAlign w:val="center"/>
          </w:tcPr>
          <w:p/>
        </w:tc>
        <w:tc>
          <w:tcPr>
            <w:tcW w:w="1216"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QEO:4.1理解组织及其环境、4.2理解相关方的需求和期望、4.3确定管理体系的范围、4.4质量/环境</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职业健康安全</w:t>
            </w:r>
            <w:r>
              <w:rPr>
                <w:rFonts w:hint="eastAsia" w:ascii="宋体" w:hAnsi="宋体" w:eastAsia="宋体" w:cs="Arial"/>
                <w:spacing w:val="-6"/>
                <w:sz w:val="21"/>
                <w:szCs w:val="21"/>
              </w:rPr>
              <w:t>管理体系及其过程、</w:t>
            </w:r>
            <w:r>
              <w:rPr>
                <w:rFonts w:hint="eastAsia" w:ascii="宋体" w:hAnsi="宋体" w:eastAsia="宋体" w:cs="Arial"/>
                <w:spacing w:val="-6"/>
                <w:sz w:val="21"/>
                <w:szCs w:val="21"/>
                <w:lang w:val="en-US" w:eastAsia="zh-CN"/>
              </w:rPr>
              <w:t>5.1领导作用、</w:t>
            </w:r>
            <w:r>
              <w:rPr>
                <w:rFonts w:hint="eastAsia" w:ascii="宋体" w:hAnsi="宋体" w:eastAsia="宋体" w:cs="Arial"/>
                <w:spacing w:val="-6"/>
                <w:sz w:val="21"/>
                <w:szCs w:val="21"/>
              </w:rPr>
              <w:t>5.2质量/环境/职业健康方针、5.3组织的岗位、职责和权限、6.1应对风险和机遇的措施、6.2目标及其实现的策划、7.1.1（EO7.1）资源总则、7.4沟通/信息交流、9.3管理评审、10持续改进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Q6.3变更的策划</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宋体" w:hAnsi="宋体" w:eastAsia="宋体" w:cs="Arial"/>
                <w:spacing w:val="-6"/>
                <w:sz w:val="21"/>
                <w:szCs w:val="21"/>
              </w:rPr>
            </w:pPr>
            <w:r>
              <w:rPr>
                <w:rFonts w:hint="eastAsia" w:ascii="宋体" w:hAnsi="宋体" w:eastAsia="宋体" w:cs="Arial"/>
                <w:spacing w:val="-6"/>
                <w:sz w:val="21"/>
                <w:szCs w:val="21"/>
              </w:rPr>
              <w:t>O5.4协商与参与</w:t>
            </w:r>
          </w:p>
          <w:p>
            <w:pPr>
              <w:rPr>
                <w:rFonts w:hint="eastAsia"/>
                <w:sz w:val="24"/>
                <w:szCs w:val="24"/>
              </w:rPr>
            </w:pPr>
            <w:r>
              <w:rPr>
                <w:rFonts w:hint="eastAsia" w:ascii="宋体" w:hAnsi="宋体" w:eastAsia="宋体" w:cs="Arial"/>
                <w:spacing w:val="-6"/>
                <w:sz w:val="21"/>
                <w:szCs w:val="21"/>
              </w:rPr>
              <w:t>标准/规范/法规的执行情况、</w:t>
            </w:r>
            <w:r>
              <w:rPr>
                <w:rFonts w:hint="eastAsia" w:ascii="宋体" w:hAnsi="宋体" w:eastAsia="宋体" w:cs="Arial"/>
                <w:spacing w:val="-6"/>
                <w:sz w:val="21"/>
                <w:szCs w:val="21"/>
                <w:lang w:val="en-US" w:eastAsia="zh-CN"/>
              </w:rPr>
              <w:t>上次</w:t>
            </w:r>
            <w:r>
              <w:rPr>
                <w:rFonts w:hint="eastAsia" w:ascii="宋体" w:hAnsi="宋体" w:eastAsia="宋体" w:cs="Arial"/>
                <w:spacing w:val="-6"/>
                <w:sz w:val="21"/>
                <w:szCs w:val="21"/>
              </w:rPr>
              <w:t>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04"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理解组织及其环境</w:t>
            </w:r>
          </w:p>
        </w:tc>
        <w:tc>
          <w:tcPr>
            <w:tcW w:w="1216"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QEO:4.1</w:t>
            </w:r>
          </w:p>
        </w:tc>
        <w:tc>
          <w:tcPr>
            <w:tcW w:w="10004" w:type="dxa"/>
            <w:vAlign w:val="top"/>
          </w:tcPr>
          <w:p>
            <w:pPr>
              <w:spacing w:line="360" w:lineRule="auto"/>
              <w:ind w:firstLine="420" w:firstLineChars="200"/>
              <w:rPr>
                <w:rFonts w:hint="eastAsia"/>
                <w:szCs w:val="22"/>
                <w:highlight w:val="none"/>
                <w:lang w:val="en-US" w:eastAsia="zh-CN"/>
              </w:rPr>
            </w:pPr>
            <w:r>
              <w:rPr>
                <w:rFonts w:hint="eastAsia"/>
                <w:szCs w:val="22"/>
                <w:highlight w:val="none"/>
                <w:lang w:val="zh-CN"/>
              </w:rPr>
              <w:t>江西华视技术服务有限公司成立于2020年05月08日，公司注册资金3000万元，</w:t>
            </w:r>
            <w:r>
              <w:rPr>
                <w:rFonts w:hint="eastAsia"/>
                <w:szCs w:val="22"/>
                <w:highlight w:val="none"/>
                <w:lang w:val="en-US" w:eastAsia="zh-CN"/>
              </w:rPr>
              <w:t>办公面积约1000平方米。</w:t>
            </w:r>
          </w:p>
          <w:p>
            <w:pPr>
              <w:spacing w:line="360" w:lineRule="auto"/>
              <w:ind w:firstLine="420" w:firstLineChars="200"/>
              <w:rPr>
                <w:rFonts w:hint="eastAsia"/>
                <w:szCs w:val="22"/>
                <w:highlight w:val="none"/>
                <w:lang w:val="zh-CN"/>
              </w:rPr>
            </w:pPr>
            <w:r>
              <w:rPr>
                <w:rFonts w:hint="eastAsia"/>
                <w:szCs w:val="22"/>
                <w:highlight w:val="none"/>
                <w:lang w:val="zh-CN"/>
              </w:rPr>
              <w:t>注册地址：江西省宜春市樟树市观上镇谭埠街98号，</w:t>
            </w:r>
          </w:p>
          <w:p>
            <w:pPr>
              <w:spacing w:line="360" w:lineRule="auto"/>
              <w:ind w:firstLine="420" w:firstLineChars="200"/>
              <w:rPr>
                <w:rFonts w:hint="eastAsia"/>
                <w:szCs w:val="22"/>
                <w:highlight w:val="none"/>
                <w:lang w:val="zh-CN"/>
              </w:rPr>
            </w:pPr>
            <w:r>
              <w:rPr>
                <w:rFonts w:hint="eastAsia"/>
                <w:szCs w:val="22"/>
                <w:highlight w:val="none"/>
                <w:lang w:val="zh-CN"/>
              </w:rPr>
              <w:t>经营地址：</w:t>
            </w:r>
            <w:r>
              <w:rPr>
                <w:rFonts w:hint="eastAsia"/>
                <w:szCs w:val="22"/>
                <w:highlight w:val="none"/>
                <w:lang w:val="en-US" w:eastAsia="zh-CN"/>
              </w:rPr>
              <w:t>江西省宜春市樟树市张家山工业园内金属加工中心商业楼</w:t>
            </w:r>
          </w:p>
          <w:p>
            <w:pPr>
              <w:spacing w:line="360" w:lineRule="auto"/>
              <w:ind w:firstLine="420" w:firstLineChars="200"/>
              <w:rPr>
                <w:rFonts w:hint="eastAsia"/>
                <w:szCs w:val="22"/>
                <w:highlight w:val="none"/>
                <w:lang w:val="en-US" w:eastAsia="zh-CN"/>
              </w:rPr>
            </w:pPr>
            <w:r>
              <w:rPr>
                <w:rFonts w:hint="eastAsia"/>
                <w:szCs w:val="22"/>
                <w:highlight w:val="none"/>
                <w:lang w:val="zh-CN"/>
              </w:rPr>
              <w:t>主要产品经有：网络技术服务，互联网数据服务，人工智能应用软件开发，软件开发，信息系统集成服务，计算机系统服务等等。</w:t>
            </w:r>
            <w:r>
              <w:rPr>
                <w:rFonts w:hint="eastAsia"/>
                <w:szCs w:val="22"/>
                <w:highlight w:val="none"/>
                <w:lang w:val="en-US" w:eastAsia="zh-CN"/>
              </w:rPr>
              <w:t>覆盖了认证范围。</w:t>
            </w:r>
          </w:p>
          <w:p>
            <w:pPr>
              <w:spacing w:line="360" w:lineRule="auto"/>
              <w:ind w:firstLine="420" w:firstLineChars="200"/>
              <w:rPr>
                <w:rFonts w:hint="eastAsia"/>
                <w:szCs w:val="22"/>
                <w:highlight w:val="none"/>
                <w:lang w:val="zh-CN"/>
              </w:rPr>
            </w:pPr>
            <w:r>
              <w:rPr>
                <w:rFonts w:hint="eastAsia"/>
                <w:szCs w:val="22"/>
                <w:highlight w:val="none"/>
                <w:lang w:val="zh-CN"/>
              </w:rPr>
              <w:t>公司现有员工15人，技术人员8人，</w:t>
            </w:r>
            <w:r>
              <w:rPr>
                <w:rFonts w:hint="eastAsia"/>
                <w:szCs w:val="22"/>
                <w:highlight w:val="none"/>
                <w:lang w:val="en-US" w:eastAsia="zh-CN"/>
              </w:rPr>
              <w:t>持证电工1人</w:t>
            </w:r>
            <w:r>
              <w:rPr>
                <w:rFonts w:hint="eastAsia"/>
                <w:szCs w:val="22"/>
                <w:highlight w:val="none"/>
                <w:lang w:val="zh-CN"/>
              </w:rPr>
              <w:t>；</w:t>
            </w:r>
          </w:p>
          <w:p>
            <w:pPr>
              <w:spacing w:line="360" w:lineRule="auto"/>
              <w:ind w:firstLine="420" w:firstLineChars="200"/>
              <w:rPr>
                <w:rFonts w:hint="eastAsia"/>
                <w:highlight w:val="none"/>
              </w:rPr>
            </w:pPr>
            <w:r>
              <w:rPr>
                <w:rFonts w:hint="eastAsia"/>
                <w:szCs w:val="22"/>
                <w:highlight w:val="none"/>
                <w:lang w:val="zh-CN"/>
              </w:rPr>
              <w:t>主要办公、检测设备有电脑，软件、</w:t>
            </w:r>
            <w:r>
              <w:rPr>
                <w:rFonts w:hint="eastAsia"/>
                <w:szCs w:val="22"/>
                <w:highlight w:val="none"/>
                <w:lang w:val="en-US" w:eastAsia="zh-CN"/>
              </w:rPr>
              <w:t>直角尺、万用表、兆欧表</w:t>
            </w:r>
            <w:r>
              <w:rPr>
                <w:rFonts w:hint="eastAsia"/>
                <w:szCs w:val="22"/>
                <w:highlight w:val="none"/>
                <w:lang w:val="zh-CN"/>
              </w:rPr>
              <w:t>等；</w:t>
            </w:r>
          </w:p>
          <w:p>
            <w:pPr>
              <w:spacing w:line="360" w:lineRule="auto"/>
              <w:ind w:firstLine="420" w:firstLineChars="200"/>
              <w:rPr>
                <w:rFonts w:hint="eastAsia"/>
                <w:highlight w:val="none"/>
              </w:rPr>
            </w:pPr>
            <w:r>
              <w:rPr>
                <w:rFonts w:hint="eastAsia"/>
                <w:highlight w:val="none"/>
              </w:rPr>
              <w:t>公司设置有</w:t>
            </w:r>
            <w:r>
              <w:rPr>
                <w:rFonts w:hint="eastAsia"/>
                <w:highlight w:val="none"/>
                <w:lang w:eastAsia="zh-CN"/>
              </w:rPr>
              <w:t>行政部、工程</w:t>
            </w:r>
            <w:r>
              <w:rPr>
                <w:rFonts w:hint="eastAsia"/>
                <w:highlight w:val="none"/>
              </w:rPr>
              <w:t>部</w:t>
            </w:r>
            <w:r>
              <w:rPr>
                <w:rFonts w:hint="eastAsia"/>
                <w:highlight w:val="none"/>
                <w:lang w:eastAsia="zh-CN"/>
              </w:rPr>
              <w:t>、</w:t>
            </w:r>
            <w:r>
              <w:rPr>
                <w:rFonts w:hint="eastAsia"/>
                <w:highlight w:val="none"/>
              </w:rPr>
              <w:t>供销部。</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04"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rPr>
              <w:t>理解相关方的需求和期望</w:t>
            </w:r>
          </w:p>
        </w:tc>
        <w:tc>
          <w:tcPr>
            <w:tcW w:w="1216" w:type="dxa"/>
            <w:vAlign w:val="top"/>
          </w:tcPr>
          <w:p>
            <w:pPr>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4.2</w:t>
            </w:r>
          </w:p>
        </w:tc>
        <w:tc>
          <w:tcPr>
            <w:tcW w:w="10004" w:type="dxa"/>
            <w:vAlign w:val="top"/>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396" w:firstLineChars="200"/>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验证方法：顾客满意程度调查、供方调查评定、客户投诉等。</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cs="Arial"/>
                <w:spacing w:val="-6"/>
                <w:sz w:val="21"/>
                <w:szCs w:val="21"/>
              </w:rPr>
            </w:pPr>
            <w:r>
              <w:rPr>
                <w:rFonts w:hint="eastAsia" w:ascii="宋体" w:hAnsi="宋体" w:cs="Arial"/>
                <w:spacing w:val="-6"/>
                <w:sz w:val="21"/>
                <w:szCs w:val="21"/>
              </w:rPr>
              <w:t>应对风险和机遇的措施</w:t>
            </w:r>
          </w:p>
          <w:p>
            <w:pPr>
              <w:rPr>
                <w:rFonts w:hint="eastAsia" w:ascii="宋体" w:hAnsi="宋体" w:cs="Arial"/>
                <w:spacing w:val="-6"/>
                <w:sz w:val="21"/>
                <w:szCs w:val="21"/>
              </w:rPr>
            </w:pPr>
            <w:r>
              <w:rPr>
                <w:rFonts w:hint="eastAsia" w:ascii="宋体" w:hAnsi="宋体" w:cs="Arial"/>
                <w:spacing w:val="-6"/>
                <w:sz w:val="21"/>
                <w:szCs w:val="21"/>
              </w:rPr>
              <w:t>确定管理体系的范围</w:t>
            </w:r>
          </w:p>
          <w:p>
            <w:pPr>
              <w:rPr>
                <w:rFonts w:hint="eastAsia" w:ascii="宋体" w:hAnsi="宋体" w:cs="Arial"/>
                <w:spacing w:val="-6"/>
                <w:sz w:val="21"/>
                <w:szCs w:val="21"/>
              </w:rPr>
            </w:pPr>
            <w:r>
              <w:rPr>
                <w:rFonts w:hint="eastAsia" w:ascii="宋体" w:hAnsi="宋体" w:cs="Arial"/>
                <w:spacing w:val="-6"/>
                <w:sz w:val="21"/>
                <w:szCs w:val="21"/>
              </w:rPr>
              <w:t>质量/环境管理体系及其过程</w:t>
            </w:r>
          </w:p>
          <w:p>
            <w:pPr>
              <w:rPr>
                <w:rFonts w:hint="default" w:ascii="宋体" w:hAnsi="宋体" w:eastAsia="宋体" w:cs="Arial"/>
                <w:spacing w:val="-6"/>
                <w:kern w:val="2"/>
                <w:sz w:val="21"/>
                <w:szCs w:val="21"/>
                <w:lang w:val="en-US" w:eastAsia="zh-CN" w:bidi="ar-SA"/>
              </w:rPr>
            </w:pPr>
            <w:r>
              <w:rPr>
                <w:rFonts w:hint="default" w:ascii="宋体" w:hAnsi="宋体" w:cs="Arial"/>
                <w:spacing w:val="-6"/>
                <w:sz w:val="21"/>
                <w:szCs w:val="21"/>
                <w:lang w:val="en-US" w:eastAsia="zh-CN"/>
              </w:rPr>
              <w:t>变更的策划</w:t>
            </w:r>
          </w:p>
        </w:tc>
        <w:tc>
          <w:tcPr>
            <w:tcW w:w="1216" w:type="dxa"/>
            <w:vAlign w:val="top"/>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QEO:6.1</w:t>
            </w:r>
          </w:p>
          <w:p>
            <w:pPr>
              <w:jc w:val="center"/>
              <w:rPr>
                <w:rFonts w:hint="eastAsia" w:ascii="宋体" w:hAnsi="宋体" w:cs="Arial"/>
                <w:spacing w:val="-6"/>
                <w:sz w:val="21"/>
                <w:szCs w:val="21"/>
              </w:rPr>
            </w:pPr>
            <w:r>
              <w:rPr>
                <w:rFonts w:hint="eastAsia" w:ascii="宋体" w:hAnsi="宋体" w:cs="Arial"/>
                <w:spacing w:val="-6"/>
                <w:sz w:val="21"/>
                <w:szCs w:val="21"/>
              </w:rPr>
              <w:t>4.3</w:t>
            </w:r>
          </w:p>
          <w:p>
            <w:pPr>
              <w:jc w:val="center"/>
              <w:rPr>
                <w:rFonts w:hint="eastAsia" w:ascii="宋体" w:hAnsi="宋体" w:cs="Arial"/>
                <w:spacing w:val="-6"/>
                <w:sz w:val="21"/>
                <w:szCs w:val="21"/>
              </w:rPr>
            </w:pPr>
            <w:r>
              <w:rPr>
                <w:rFonts w:hint="eastAsia" w:ascii="宋体" w:hAnsi="宋体" w:cs="Arial"/>
                <w:spacing w:val="-6"/>
                <w:sz w:val="21"/>
                <w:szCs w:val="21"/>
              </w:rPr>
              <w:t>4.4</w:t>
            </w:r>
          </w:p>
          <w:p>
            <w:pPr>
              <w:jc w:val="cente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6.3</w:t>
            </w:r>
          </w:p>
        </w:tc>
        <w:tc>
          <w:tcPr>
            <w:tcW w:w="10004" w:type="dxa"/>
            <w:vAlign w:val="top"/>
          </w:tcPr>
          <w:p>
            <w:pPr>
              <w:adjustRightInd w:val="0"/>
              <w:snapToGrid w:val="0"/>
              <w:spacing w:line="360" w:lineRule="auto"/>
              <w:ind w:right="105" w:rightChars="50" w:firstLine="420" w:firstLineChars="200"/>
              <w:textAlignment w:val="baseline"/>
              <w:rPr>
                <w:rFonts w:hint="eastAsia"/>
              </w:rPr>
            </w:pPr>
            <w:r>
              <w:rPr>
                <w:rFonts w:hint="eastAsia"/>
              </w:rPr>
              <w:t>基于对4.1和4.2的考虑，</w:t>
            </w:r>
            <w:r>
              <w:rPr>
                <w:rFonts w:hint="eastAsia"/>
                <w:lang w:val="en-US" w:eastAsia="zh-CN"/>
              </w:rPr>
              <w:t>公司管理层</w:t>
            </w:r>
            <w:r>
              <w:rPr>
                <w:rFonts w:hint="eastAsia"/>
              </w:rPr>
              <w:t>分析了公司存在的风险和机遇：</w:t>
            </w:r>
          </w:p>
          <w:p>
            <w:pPr>
              <w:adjustRightInd w:val="0"/>
              <w:snapToGrid w:val="0"/>
              <w:spacing w:line="360" w:lineRule="auto"/>
              <w:ind w:right="105" w:rightChars="50" w:firstLine="420" w:firstLineChars="200"/>
              <w:textAlignment w:val="baseline"/>
              <w:rPr>
                <w:rFonts w:hint="eastAsia"/>
              </w:rPr>
            </w:pPr>
            <w:r>
              <w:rPr>
                <w:rFonts w:hint="eastAsia"/>
              </w:rPr>
              <w:t>机遇：</w:t>
            </w:r>
            <w:r>
              <w:rPr>
                <w:rFonts w:hint="eastAsia"/>
                <w:lang w:val="en-US" w:eastAsia="zh-CN"/>
              </w:rPr>
              <w:t>随着时代的发展和国家政策的出台，电子信息化代表着发展方向，公司的业务市场发展将随着时代的发展变得越来越大</w:t>
            </w:r>
            <w:r>
              <w:rPr>
                <w:rFonts w:hint="eastAsia"/>
              </w:rPr>
              <w:t>。</w:t>
            </w:r>
          </w:p>
          <w:p>
            <w:pPr>
              <w:adjustRightInd w:val="0"/>
              <w:snapToGrid w:val="0"/>
              <w:spacing w:line="360" w:lineRule="auto"/>
              <w:ind w:right="105" w:rightChars="50" w:firstLine="420" w:firstLineChars="200"/>
              <w:textAlignment w:val="baseline"/>
              <w:rPr>
                <w:rFonts w:hint="eastAsia"/>
              </w:rPr>
            </w:pPr>
            <w:r>
              <w:rPr>
                <w:rFonts w:hint="eastAsia"/>
              </w:rPr>
              <w:t>风险：</w:t>
            </w:r>
            <w:r>
              <w:rPr>
                <w:rFonts w:hint="eastAsia"/>
                <w:lang w:val="en-US" w:eastAsia="zh-CN"/>
              </w:rPr>
              <w:t>时代的快速发展，导致人员需求扩大，人才的竞争将越来越激烈，技术力量的不足使公司目前的风险</w:t>
            </w:r>
            <w:r>
              <w:rPr>
                <w:rFonts w:hint="eastAsia"/>
              </w:rPr>
              <w:t>。</w:t>
            </w:r>
          </w:p>
          <w:p>
            <w:pPr>
              <w:adjustRightInd w:val="0"/>
              <w:snapToGrid w:val="0"/>
              <w:spacing w:line="360" w:lineRule="auto"/>
              <w:ind w:right="105" w:rightChars="50" w:firstLine="420" w:firstLineChars="200"/>
              <w:textAlignment w:val="baseline"/>
              <w:rPr>
                <w:rFonts w:hint="default"/>
                <w:lang w:val="en-US" w:eastAsia="zh-CN"/>
              </w:rPr>
            </w:pPr>
            <w:r>
              <w:rPr>
                <w:rFonts w:hint="eastAsia"/>
                <w:lang w:val="en-US" w:eastAsia="zh-CN"/>
              </w:rPr>
              <w:t>公司高层对公司内外部风险和机遇进行了分析；策划了风险和机遇应对措施。</w:t>
            </w:r>
          </w:p>
          <w:p>
            <w:pPr>
              <w:adjustRightInd w:val="0"/>
              <w:snapToGrid w:val="0"/>
              <w:spacing w:line="360" w:lineRule="auto"/>
              <w:ind w:right="105" w:rightChars="50" w:firstLine="420" w:firstLineChars="200"/>
              <w:textAlignment w:val="baseline"/>
              <w:rPr>
                <w:rFonts w:hint="eastAsia"/>
              </w:rPr>
            </w:pPr>
            <w:r>
              <w:rPr>
                <w:rFonts w:hint="eastAsia"/>
              </w:rPr>
              <w:t>重大环境因素：</w:t>
            </w:r>
            <w:r>
              <w:rPr>
                <w:rFonts w:hint="eastAsia"/>
                <w:lang w:val="en-US" w:eastAsia="zh-CN"/>
              </w:rPr>
              <w:t>潜在</w:t>
            </w:r>
            <w:r>
              <w:rPr>
                <w:rFonts w:hint="eastAsia"/>
              </w:rPr>
              <w:t>火灾，固废排放；</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通用措施——</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制定目标、指标，编制运行控制文件，运行控制；一旦发生按相关应急预案执行。</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固（危）废——</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一般固废集中收集外售；（办公）危废以旧换新由供应商带回；</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潜在火灾——</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定期检查用电安全，电工持证上岗；配置消防器材、做好火灾预防措施；</w:t>
            </w:r>
          </w:p>
          <w:p>
            <w:pPr>
              <w:adjustRightInd w:val="0"/>
              <w:snapToGrid w:val="0"/>
              <w:spacing w:line="360" w:lineRule="auto"/>
              <w:ind w:right="105" w:rightChars="50" w:firstLine="420" w:firstLineChars="200"/>
              <w:textAlignment w:val="baseline"/>
              <w:rPr>
                <w:rFonts w:hint="eastAsia"/>
                <w:lang w:val="en-US" w:eastAsia="zh-CN"/>
              </w:rPr>
            </w:pPr>
            <w:r>
              <w:rPr>
                <w:rFonts w:hint="eastAsia"/>
              </w:rPr>
              <w:t>不可接受风险有：触电、潜在火灾</w:t>
            </w:r>
            <w:r>
              <w:rPr>
                <w:rFonts w:hint="eastAsia"/>
                <w:lang w:val="en-US" w:eastAsia="zh-CN"/>
              </w:rPr>
              <w:t>等；</w:t>
            </w:r>
          </w:p>
          <w:p>
            <w:pPr>
              <w:adjustRightInd w:val="0"/>
              <w:snapToGrid w:val="0"/>
              <w:spacing w:line="360" w:lineRule="auto"/>
              <w:ind w:right="105" w:rightChars="50" w:firstLine="420" w:firstLineChars="200"/>
              <w:textAlignment w:val="baseline"/>
              <w:rPr>
                <w:rFonts w:hint="eastAsia"/>
              </w:rPr>
            </w:pPr>
            <w:r>
              <w:rPr>
                <w:rFonts w:hint="eastAsia"/>
              </w:rPr>
              <w:t>通用控制措施——</w:t>
            </w:r>
          </w:p>
          <w:p>
            <w:pPr>
              <w:adjustRightInd w:val="0"/>
              <w:snapToGrid w:val="0"/>
              <w:spacing w:line="360" w:lineRule="auto"/>
              <w:ind w:right="105" w:rightChars="50" w:firstLine="420" w:firstLineChars="200"/>
              <w:textAlignment w:val="baseline"/>
              <w:rPr>
                <w:rFonts w:hint="eastAsia"/>
              </w:rPr>
            </w:pPr>
            <w:r>
              <w:rPr>
                <w:rFonts w:hint="eastAsia"/>
              </w:rPr>
              <w:t>制定目标、指标，编制运行控制文件，运行控制；设置警示标志标识；</w:t>
            </w:r>
          </w:p>
          <w:p>
            <w:pPr>
              <w:adjustRightInd w:val="0"/>
              <w:snapToGrid w:val="0"/>
              <w:spacing w:line="360" w:lineRule="auto"/>
              <w:ind w:right="105" w:rightChars="50" w:firstLine="420" w:firstLineChars="200"/>
              <w:textAlignment w:val="baseline"/>
              <w:rPr>
                <w:rFonts w:hint="eastAsia"/>
              </w:rPr>
            </w:pPr>
            <w:r>
              <w:rPr>
                <w:rFonts w:hint="eastAsia"/>
              </w:rPr>
              <w:t>火灾，触电——</w:t>
            </w:r>
          </w:p>
          <w:p>
            <w:pPr>
              <w:adjustRightInd w:val="0"/>
              <w:snapToGrid w:val="0"/>
              <w:spacing w:line="360" w:lineRule="auto"/>
              <w:ind w:right="105" w:rightChars="50" w:firstLine="420" w:firstLineChars="200"/>
              <w:textAlignment w:val="baseline"/>
              <w:rPr>
                <w:rFonts w:hint="eastAsia"/>
                <w:lang w:eastAsia="zh-CN"/>
              </w:rPr>
            </w:pPr>
            <w:r>
              <w:rPr>
                <w:rFonts w:hint="eastAsia"/>
              </w:rPr>
              <w:t>设备、电路定期检修、检查，人员持证上岗；配置消防器材、做好火灾预防措施</w:t>
            </w:r>
            <w:r>
              <w:rPr>
                <w:rFonts w:hint="eastAsia"/>
                <w:lang w:eastAsia="zh-CN"/>
              </w:rPr>
              <w:t>。</w:t>
            </w:r>
          </w:p>
          <w:p>
            <w:pPr>
              <w:adjustRightInd w:val="0"/>
              <w:snapToGrid w:val="0"/>
              <w:spacing w:line="360" w:lineRule="auto"/>
              <w:ind w:right="105" w:rightChars="50" w:firstLine="420" w:firstLineChars="200"/>
              <w:textAlignment w:val="baseline"/>
              <w:rPr>
                <w:rFonts w:hint="eastAsia"/>
              </w:rPr>
            </w:pPr>
            <w:r>
              <w:rPr>
                <w:rFonts w:hint="eastAsia"/>
              </w:rPr>
              <w:t>为应对</w:t>
            </w:r>
            <w:r>
              <w:rPr>
                <w:rFonts w:hint="eastAsia"/>
                <w:lang w:val="en-US" w:eastAsia="zh-CN"/>
              </w:rPr>
              <w:t>上述</w:t>
            </w:r>
            <w:r>
              <w:rPr>
                <w:rFonts w:hint="eastAsia"/>
              </w:rPr>
              <w:t>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rPr>
            </w:pPr>
            <w:r>
              <w:rPr>
                <w:rFonts w:hint="eastAsia"/>
                <w:lang w:val="en-US" w:eastAsia="zh-CN"/>
              </w:rPr>
              <w:t>管理手册——A/0，</w:t>
            </w:r>
            <w:r>
              <w:rPr>
                <w:rFonts w:hint="eastAsia"/>
              </w:rPr>
              <w:t>2020年11月10日</w:t>
            </w:r>
          </w:p>
          <w:p>
            <w:pPr>
              <w:spacing w:line="360" w:lineRule="auto"/>
              <w:ind w:firstLine="420" w:firstLineChars="200"/>
              <w:rPr>
                <w:rFonts w:hint="eastAsia"/>
                <w:lang w:val="en-US" w:eastAsia="zh-CN"/>
              </w:rPr>
            </w:pPr>
            <w:r>
              <w:rPr>
                <w:rFonts w:hint="eastAsia"/>
                <w:lang w:val="en-US" w:eastAsia="zh-CN"/>
              </w:rPr>
              <w:t>程序文件——风险和机遇的应对控制程序、顾客满意度控制程序、设计开发控制程序、采购控制程序、销售和服务管理控制程序、环境因素和危险源识别评价与控制程序、环境和职业健康安全法律法规控制程序、应急准备和响应控制程序、监视和测量控制程序、不符合/纠正和预防措施控制程序等25个；</w:t>
            </w:r>
          </w:p>
          <w:p>
            <w:pPr>
              <w:spacing w:line="360" w:lineRule="auto"/>
              <w:ind w:firstLine="420" w:firstLineChars="200"/>
              <w:rPr>
                <w:rFonts w:hint="eastAsia"/>
                <w:lang w:val="en-US" w:eastAsia="zh-CN"/>
              </w:rPr>
            </w:pPr>
            <w:r>
              <w:rPr>
                <w:rFonts w:hint="eastAsia"/>
                <w:lang w:val="en-US" w:eastAsia="zh-CN"/>
              </w:rPr>
              <w:t>管理文件——编制有环境作业指导书文件、职业安全健康管理体系作业指导书等作业文件；</w:t>
            </w:r>
          </w:p>
          <w:p>
            <w:pPr>
              <w:spacing w:line="360" w:lineRule="auto"/>
              <w:ind w:firstLine="420" w:firstLineChars="200"/>
              <w:rPr>
                <w:rFonts w:hint="default"/>
                <w:lang w:val="en-US" w:eastAsia="zh-CN"/>
              </w:rPr>
            </w:pPr>
            <w:r>
              <w:rPr>
                <w:rFonts w:hint="eastAsia"/>
                <w:lang w:val="en-US" w:eastAsia="zh-CN"/>
              </w:rPr>
              <w:t>建立有外来文件清单，收集相关标准和法律等39个；</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建立环境、职业健康安全法律法规和其他要求清单，共84个。</w:t>
            </w:r>
          </w:p>
          <w:p>
            <w:pPr>
              <w:adjustRightInd w:val="0"/>
              <w:snapToGrid w:val="0"/>
              <w:spacing w:line="360" w:lineRule="auto"/>
              <w:ind w:right="105" w:rightChars="50" w:firstLine="420" w:firstLineChars="200"/>
              <w:textAlignment w:val="baseline"/>
              <w:rPr>
                <w:rFonts w:hint="eastAsia"/>
              </w:rPr>
            </w:pPr>
            <w:r>
              <w:rPr>
                <w:rFonts w:hint="eastAsia"/>
              </w:rPr>
              <w:t>本公司识别并确定过程：</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项目接收</w:t>
            </w:r>
            <w:r>
              <w:rPr>
                <w:rFonts w:hint="eastAsia"/>
                <w:lang w:val="en-US" w:eastAsia="zh-CN"/>
              </w:rPr>
              <w:softHyphen/>
            </w:r>
            <w:r>
              <w:rPr>
                <w:rFonts w:hint="eastAsia"/>
                <w:lang w:val="en-US" w:eastAsia="zh-CN"/>
              </w:rPr>
              <w:softHyphen/>
            </w:r>
            <w:r>
              <w:rPr>
                <w:rFonts w:hint="eastAsia"/>
                <w:lang w:val="en-US" w:eastAsia="zh-CN"/>
              </w:rPr>
              <w:softHyphen/>
            </w:r>
            <w:r>
              <w:rPr>
                <w:rFonts w:hint="eastAsia"/>
                <w:lang w:val="en-US" w:eastAsia="zh-CN"/>
              </w:rPr>
              <w:t>——实地调查——初步设计———详细设计——测试——试运行——交付</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关键过程：设计开发（初步设计、详细设计）。</w:t>
            </w:r>
          </w:p>
          <w:p>
            <w:pPr>
              <w:adjustRightInd w:val="0"/>
              <w:snapToGrid w:val="0"/>
              <w:spacing w:line="360" w:lineRule="auto"/>
              <w:ind w:right="105" w:rightChars="50" w:firstLine="420" w:firstLineChars="200"/>
              <w:textAlignment w:val="baseline"/>
              <w:rPr>
                <w:rFonts w:hint="eastAsia"/>
              </w:rPr>
            </w:pPr>
            <w:r>
              <w:rPr>
                <w:rFonts w:hint="eastAsia"/>
              </w:rPr>
              <w:t>管理手册中</w:t>
            </w:r>
            <w:r>
              <w:rPr>
                <w:rFonts w:hint="eastAsia"/>
                <w:lang w:val="en-US" w:eastAsia="zh-CN"/>
              </w:rPr>
              <w:t>确定</w:t>
            </w:r>
            <w:r>
              <w:rPr>
                <w:rFonts w:hint="eastAsia"/>
              </w:rPr>
              <w:t>的认证范围：</w:t>
            </w:r>
          </w:p>
          <w:p>
            <w:pPr>
              <w:spacing w:line="360" w:lineRule="auto"/>
              <w:ind w:firstLine="420" w:firstLineChars="200"/>
              <w:rPr>
                <w:rFonts w:hint="default"/>
                <w:lang w:val="en-US" w:eastAsia="zh-CN"/>
              </w:rPr>
            </w:pPr>
            <w:r>
              <w:rPr>
                <w:rFonts w:hint="default"/>
                <w:lang w:val="en-US" w:eastAsia="zh-CN"/>
              </w:rPr>
              <w:t>Q：</w:t>
            </w:r>
            <w:r>
              <w:t>系统集成(</w:t>
            </w:r>
            <w:r>
              <w:rPr>
                <w:rFonts w:hint="eastAsia"/>
              </w:rPr>
              <w:t>智慧综合体系统、智慧平台、</w:t>
            </w:r>
            <w:r>
              <w:t>智慧校园系统、智慧公安系统、智慧交通系统、智慧医疗系统、智慧法院系统、智慧文博系统、智慧政务及服务系统)、计算机网络技术及软件开发</w:t>
            </w:r>
          </w:p>
          <w:p>
            <w:pPr>
              <w:spacing w:line="360" w:lineRule="auto"/>
              <w:ind w:firstLine="420" w:firstLineChars="200"/>
              <w:rPr>
                <w:rFonts w:hint="default"/>
                <w:lang w:val="en-US" w:eastAsia="zh-CN"/>
              </w:rPr>
            </w:pPr>
            <w:r>
              <w:rPr>
                <w:rFonts w:hint="default"/>
                <w:lang w:val="en-US" w:eastAsia="zh-CN"/>
              </w:rPr>
              <w:t>E：</w:t>
            </w:r>
            <w:r>
              <w:t>系统集成(</w:t>
            </w:r>
            <w:r>
              <w:rPr>
                <w:rFonts w:hint="eastAsia"/>
              </w:rPr>
              <w:t>智慧综合体系统、智慧平台、</w:t>
            </w:r>
            <w:r>
              <w:t>智慧校园系统、智慧公安系统、智慧交通系统、智慧医疗系统、智慧法院系统、智慧文博系统、智慧政务及服务系统)、计算机网络技术及软件开发</w:t>
            </w:r>
            <w:r>
              <w:rPr>
                <w:rFonts w:hint="default"/>
                <w:lang w:val="en-US" w:eastAsia="zh-CN"/>
              </w:rPr>
              <w:t>所涉及场所的相关环境管理活动</w:t>
            </w:r>
          </w:p>
          <w:p>
            <w:pPr>
              <w:spacing w:line="360" w:lineRule="auto"/>
              <w:ind w:firstLine="420" w:firstLineChars="200"/>
              <w:rPr>
                <w:rFonts w:hint="eastAsia"/>
              </w:rPr>
            </w:pPr>
            <w:r>
              <w:rPr>
                <w:rFonts w:hint="default"/>
                <w:lang w:val="en-US" w:eastAsia="zh-CN"/>
              </w:rPr>
              <w:t>O：</w:t>
            </w:r>
            <w:r>
              <w:t>系统集成(</w:t>
            </w:r>
            <w:r>
              <w:rPr>
                <w:rFonts w:hint="eastAsia"/>
              </w:rPr>
              <w:t>智慧综合体系统、智慧平台、</w:t>
            </w:r>
            <w:r>
              <w:t>智慧校园系统、智慧公安系统、智慧交通系统、智慧医疗系统、智慧法院系统、智慧文博系统、智慧政务及服务系统)、计算机网络技术及软件开发</w:t>
            </w:r>
            <w:r>
              <w:rPr>
                <w:rFonts w:hint="default"/>
                <w:lang w:val="en-US" w:eastAsia="zh-CN"/>
              </w:rPr>
              <w:t>所涉及场所的相关职业健康安全管理活动</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所有条款适用，无删减；</w:t>
            </w:r>
          </w:p>
          <w:p>
            <w:pPr>
              <w:adjustRightInd w:val="0"/>
              <w:snapToGrid w:val="0"/>
              <w:spacing w:line="360" w:lineRule="auto"/>
              <w:ind w:right="105" w:rightChars="50" w:firstLine="420" w:firstLineChars="200"/>
              <w:textAlignment w:val="baseline"/>
              <w:rPr>
                <w:rFonts w:hint="eastAsia"/>
              </w:rPr>
            </w:pPr>
            <w:r>
              <w:rPr>
                <w:rFonts w:hint="eastAsia"/>
              </w:rPr>
              <w:t>查到了企业的营业执照，经营范围包括了认证范围内产品。</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t>经确认公司无外包过程。</w:t>
            </w:r>
          </w:p>
          <w:p>
            <w:pPr>
              <w:adjustRightInd w:val="0"/>
              <w:snapToGrid w:val="0"/>
              <w:spacing w:line="360" w:lineRule="auto"/>
              <w:ind w:right="105" w:rightChars="50" w:firstLine="420" w:firstLineChars="200"/>
              <w:textAlignment w:val="baseline"/>
              <w:rPr>
                <w:rFonts w:hint="default" w:ascii="Times New Roman" w:hAnsi="Times New Roman" w:eastAsia="宋体" w:cs="Times New Roman"/>
                <w:kern w:val="2"/>
                <w:sz w:val="21"/>
                <w:lang w:val="en-US" w:eastAsia="zh-CN" w:bidi="ar-SA"/>
              </w:rPr>
            </w:pPr>
            <w:r>
              <w:rPr>
                <w:rFonts w:hint="eastAsia"/>
                <w:lang w:val="en-US" w:eastAsia="zh-CN"/>
              </w:rPr>
              <w:t>管理者代表变更为曾霞，体系建立以来暂无其他变更。</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cs="Arial"/>
                <w:spacing w:val="-6"/>
                <w:sz w:val="21"/>
                <w:szCs w:val="21"/>
              </w:rPr>
            </w:pPr>
            <w:r>
              <w:rPr>
                <w:rFonts w:hint="eastAsia" w:ascii="宋体" w:hAnsi="宋体" w:cs="Arial"/>
                <w:spacing w:val="-6"/>
                <w:sz w:val="21"/>
                <w:szCs w:val="21"/>
              </w:rPr>
              <w:t>质量/环境/职业健康方针</w:t>
            </w:r>
          </w:p>
          <w:p>
            <w:pPr>
              <w:rPr>
                <w:rFonts w:hint="default" w:ascii="宋体" w:hAnsi="宋体" w:eastAsia="宋体" w:cs="Arial"/>
                <w:spacing w:val="-6"/>
                <w:kern w:val="2"/>
                <w:sz w:val="21"/>
                <w:szCs w:val="21"/>
                <w:lang w:val="en-US" w:eastAsia="zh-CN" w:bidi="ar-SA"/>
              </w:rPr>
            </w:pPr>
            <w:r>
              <w:rPr>
                <w:rFonts w:hint="eastAsia" w:ascii="宋体" w:hAnsi="宋体" w:cs="Arial"/>
                <w:spacing w:val="-6"/>
                <w:sz w:val="21"/>
                <w:szCs w:val="21"/>
              </w:rPr>
              <w:t>质量/环境/</w:t>
            </w:r>
            <w:r>
              <w:rPr>
                <w:rFonts w:hint="eastAsia" w:ascii="宋体" w:hAnsi="宋体" w:cs="Arial"/>
                <w:sz w:val="21"/>
                <w:szCs w:val="21"/>
              </w:rPr>
              <w:t>职业健康</w:t>
            </w:r>
            <w:r>
              <w:rPr>
                <w:rFonts w:hint="eastAsia" w:ascii="宋体" w:hAnsi="宋体" w:cs="Arial"/>
                <w:spacing w:val="-6"/>
                <w:sz w:val="21"/>
                <w:szCs w:val="21"/>
              </w:rPr>
              <w:t>安全目标及其实现的策划</w:t>
            </w:r>
          </w:p>
        </w:tc>
        <w:tc>
          <w:tcPr>
            <w:tcW w:w="1216" w:type="dxa"/>
            <w:vAlign w:val="top"/>
          </w:tcPr>
          <w:p>
            <w:pPr>
              <w:rPr>
                <w:rFonts w:hint="eastAsia" w:ascii="宋体" w:hAnsi="宋体" w:cs="Arial"/>
                <w:spacing w:val="-6"/>
                <w:sz w:val="21"/>
                <w:szCs w:val="21"/>
              </w:rPr>
            </w:pPr>
            <w:r>
              <w:rPr>
                <w:rFonts w:hint="eastAsia" w:ascii="宋体" w:hAnsi="宋体" w:cs="Arial"/>
                <w:spacing w:val="-6"/>
                <w:sz w:val="21"/>
                <w:szCs w:val="21"/>
                <w:lang w:val="en-US" w:eastAsia="zh-CN"/>
              </w:rPr>
              <w:t>QEO:</w:t>
            </w:r>
            <w:r>
              <w:rPr>
                <w:rFonts w:hint="eastAsia" w:ascii="宋体" w:hAnsi="宋体" w:cs="Arial"/>
                <w:spacing w:val="-6"/>
                <w:sz w:val="21"/>
                <w:szCs w:val="21"/>
              </w:rPr>
              <w:t>5.2</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6.2</w:t>
            </w:r>
          </w:p>
        </w:tc>
        <w:tc>
          <w:tcPr>
            <w:tcW w:w="0" w:type="auto"/>
            <w:vAlign w:val="top"/>
          </w:tcPr>
          <w:p>
            <w:pPr>
              <w:spacing w:line="360" w:lineRule="auto"/>
              <w:ind w:firstLine="420" w:firstLineChars="200"/>
              <w:rPr>
                <w:rFonts w:hint="eastAsia"/>
              </w:rPr>
            </w:pPr>
            <w:r>
              <w:rPr>
                <w:rFonts w:hint="eastAsia"/>
              </w:rPr>
              <w:t>1.质量环境职业健康安全方针：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spacing w:line="360" w:lineRule="auto"/>
              <w:ind w:firstLine="420" w:firstLineChars="200"/>
              <w:rPr>
                <w:rFonts w:hint="eastAsia"/>
              </w:rPr>
            </w:pPr>
            <w:r>
              <w:rPr>
                <w:rFonts w:hint="eastAsia"/>
              </w:rPr>
              <w:t>遵纪守法   保障员工权利    美化环境</w:t>
            </w:r>
          </w:p>
          <w:p>
            <w:pPr>
              <w:pStyle w:val="3"/>
              <w:ind w:firstLine="420" w:firstLineChars="200"/>
              <w:rPr>
                <w:rFonts w:hint="eastAsia"/>
              </w:rPr>
            </w:pPr>
            <w:r>
              <w:rPr>
                <w:rFonts w:hint="eastAsia"/>
              </w:rPr>
              <w:t>方针适宜于公司现状，在管理手册中明确，通过文件发放，使员工获知，适用时提供给相关方。</w:t>
            </w:r>
          </w:p>
          <w:p>
            <w:pPr>
              <w:pStyle w:val="3"/>
              <w:ind w:firstLine="420" w:firstLineChars="200"/>
              <w:rPr>
                <w:rFonts w:hint="eastAsia"/>
              </w:rPr>
            </w:pPr>
            <w:r>
              <w:rPr>
                <w:rFonts w:hint="eastAsia"/>
              </w:rPr>
              <w:t>2.管理目标：</w:t>
            </w:r>
          </w:p>
          <w:p>
            <w:pPr>
              <w:pStyle w:val="3"/>
              <w:ind w:firstLine="840" w:firstLineChars="400"/>
              <w:rPr>
                <w:rFonts w:hint="eastAsia"/>
              </w:rPr>
            </w:pPr>
            <w:r>
              <w:rPr>
                <w:rFonts w:hint="eastAsia"/>
              </w:rPr>
              <w:t>质量目标：</w:t>
            </w:r>
          </w:p>
          <w:p>
            <w:pPr>
              <w:pStyle w:val="3"/>
              <w:ind w:firstLine="840" w:firstLineChars="400"/>
              <w:rPr>
                <w:rFonts w:hint="eastAsia" w:eastAsia="宋体"/>
                <w:lang w:eastAsia="zh-CN"/>
              </w:rPr>
            </w:pPr>
            <w:r>
              <w:rPr>
                <w:rFonts w:hint="eastAsia"/>
              </w:rPr>
              <w:t>顾客满意度大于94分</w:t>
            </w:r>
            <w:r>
              <w:rPr>
                <w:rFonts w:hint="eastAsia"/>
                <w:lang w:eastAsia="zh-CN"/>
              </w:rPr>
              <w:t>；</w:t>
            </w:r>
          </w:p>
          <w:p>
            <w:pPr>
              <w:pStyle w:val="3"/>
              <w:ind w:firstLine="840" w:firstLineChars="400"/>
              <w:rPr>
                <w:rFonts w:hint="eastAsia" w:eastAsia="宋体"/>
                <w:lang w:eastAsia="zh-CN"/>
              </w:rPr>
            </w:pPr>
            <w:r>
              <w:rPr>
                <w:rFonts w:hint="eastAsia"/>
              </w:rPr>
              <w:t>系统集成调试一次通过率大于80%</w:t>
            </w:r>
            <w:r>
              <w:rPr>
                <w:rFonts w:hint="eastAsia"/>
                <w:lang w:eastAsia="zh-CN"/>
              </w:rPr>
              <w:t>；</w:t>
            </w:r>
          </w:p>
          <w:p>
            <w:pPr>
              <w:pStyle w:val="3"/>
              <w:ind w:firstLine="840" w:firstLineChars="400"/>
              <w:rPr>
                <w:rFonts w:hint="eastAsia"/>
              </w:rPr>
            </w:pPr>
            <w:r>
              <w:rPr>
                <w:rFonts w:hint="eastAsia"/>
              </w:rPr>
              <w:t>环境安全目标：</w:t>
            </w:r>
          </w:p>
          <w:p>
            <w:pPr>
              <w:pStyle w:val="3"/>
              <w:ind w:firstLine="840" w:firstLineChars="400"/>
              <w:rPr>
                <w:rFonts w:hint="eastAsia"/>
              </w:rPr>
            </w:pPr>
            <w:r>
              <w:rPr>
                <w:rFonts w:hint="eastAsia"/>
              </w:rPr>
              <w:t>固体废弃物分类处理100%；</w:t>
            </w:r>
          </w:p>
          <w:p>
            <w:pPr>
              <w:pStyle w:val="3"/>
              <w:ind w:firstLine="840" w:firstLineChars="400"/>
              <w:rPr>
                <w:rFonts w:hint="eastAsia"/>
              </w:rPr>
            </w:pPr>
            <w:r>
              <w:rPr>
                <w:rFonts w:hint="eastAsia"/>
              </w:rPr>
              <w:t>火灾事故发生率为零；</w:t>
            </w:r>
          </w:p>
          <w:p>
            <w:pPr>
              <w:pStyle w:val="3"/>
              <w:ind w:firstLine="840" w:firstLineChars="400"/>
              <w:rPr>
                <w:rFonts w:hint="eastAsia"/>
                <w:lang w:eastAsia="zh-CN"/>
              </w:rPr>
            </w:pPr>
            <w:r>
              <w:rPr>
                <w:rFonts w:hint="eastAsia"/>
              </w:rPr>
              <w:t>触电事故发生率为0；</w:t>
            </w:r>
          </w:p>
          <w:p>
            <w:pPr>
              <w:pStyle w:val="3"/>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管理方案和控制措施</w:t>
            </w:r>
            <w:r>
              <w:rPr>
                <w:rFonts w:hint="eastAsia"/>
                <w:lang w:val="en-US" w:eastAsia="zh-CN"/>
              </w:rPr>
              <w:t>”，对目标实现进行了策划；</w:t>
            </w:r>
          </w:p>
          <w:p>
            <w:pPr>
              <w:pStyle w:val="3"/>
              <w:ind w:firstLine="420" w:firstLineChars="200"/>
              <w:rPr>
                <w:rFonts w:hint="eastAsia"/>
                <w:lang w:val="en-US" w:eastAsia="zh-CN"/>
              </w:rPr>
            </w:pPr>
            <w:r>
              <w:rPr>
                <w:rFonts w:hint="eastAsia"/>
                <w:lang w:val="en-US" w:eastAsia="zh-CN"/>
              </w:rPr>
              <w:t>通过“</w:t>
            </w:r>
            <w:r>
              <w:rPr>
                <w:rFonts w:hint="default"/>
                <w:lang w:val="en-US" w:eastAsia="zh-CN"/>
              </w:rPr>
              <w:t>目标分解展开表及实现措施</w:t>
            </w:r>
            <w:r>
              <w:rPr>
                <w:rFonts w:hint="eastAsia"/>
                <w:lang w:val="en-US" w:eastAsia="zh-CN"/>
              </w:rPr>
              <w:t>”，对目标进行分解到各部门；</w:t>
            </w:r>
          </w:p>
          <w:p>
            <w:pPr>
              <w:pStyle w:val="3"/>
              <w:ind w:firstLine="420" w:firstLineChars="200"/>
              <w:rPr>
                <w:rFonts w:hint="eastAsia" w:ascii="宋体" w:hAnsi="宋体" w:eastAsia="宋体" w:cs="Arial"/>
                <w:spacing w:val="-6"/>
                <w:kern w:val="2"/>
                <w:sz w:val="21"/>
                <w:szCs w:val="21"/>
                <w:lang w:val="en-US" w:eastAsia="zh-CN" w:bidi="ar-SA"/>
              </w:rPr>
            </w:pPr>
            <w:r>
              <w:rPr>
                <w:rFonts w:hint="eastAsia"/>
                <w:lang w:val="en-US" w:eastAsia="zh-CN"/>
              </w:rPr>
              <w:t>“目标考核表”显示对目标完成情况进行了季度考核，均完成；</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领导作用</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组织的岗位、职责和权限</w:t>
            </w:r>
          </w:p>
        </w:tc>
        <w:tc>
          <w:tcPr>
            <w:tcW w:w="1216" w:type="dxa"/>
            <w:vAlign w:val="top"/>
          </w:tcPr>
          <w:p>
            <w:pPr>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eastAsia="宋体" w:cs="Arial"/>
                <w:spacing w:val="-6"/>
                <w:sz w:val="21"/>
                <w:szCs w:val="21"/>
                <w:lang w:val="en-US" w:eastAsia="zh-CN"/>
              </w:rPr>
              <w:t>5.1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5.3</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lang w:eastAsia="zh-CN"/>
              </w:rPr>
            </w:pPr>
            <w:r>
              <w:rPr>
                <w:rFonts w:hint="eastAsia" w:ascii="宋体" w:hAnsi="宋体" w:cs="Arial"/>
                <w:spacing w:val="-6"/>
                <w:sz w:val="21"/>
                <w:szCs w:val="21"/>
              </w:rPr>
              <w:t>最高管理者</w:t>
            </w:r>
            <w:r>
              <w:rPr>
                <w:rFonts w:hint="eastAsia" w:ascii="宋体" w:hAnsi="宋体" w:cs="Arial"/>
                <w:spacing w:val="-6"/>
                <w:sz w:val="21"/>
                <w:szCs w:val="21"/>
                <w:lang w:val="en-US" w:eastAsia="zh-CN"/>
              </w:rPr>
              <w:t>在管理手册中</w:t>
            </w:r>
            <w:r>
              <w:rPr>
                <w:rFonts w:hint="eastAsia" w:ascii="宋体" w:hAnsi="宋体" w:cs="Arial"/>
                <w:spacing w:val="-6"/>
                <w:sz w:val="21"/>
                <w:szCs w:val="21"/>
              </w:rPr>
              <w:t>明确了各部门和各岗位的职责和权限，以确保管理体系符合各项标准的要求，并确保各个过程获得其预期输出</w:t>
            </w:r>
            <w:r>
              <w:rPr>
                <w:rFonts w:hint="eastAsia" w:ascii="宋体" w:hAnsi="宋体" w:cs="Arial"/>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经授权的分管领导</w:t>
            </w:r>
            <w:r>
              <w:rPr>
                <w:rFonts w:hint="eastAsia" w:ascii="宋体" w:hAnsi="宋体" w:cs="Arial"/>
                <w:spacing w:val="-6"/>
                <w:sz w:val="21"/>
                <w:szCs w:val="21"/>
              </w:rPr>
              <w:t>向最高管理者报告质量、环境、职业健康安全管理体系的绩效及改进机会，确保整个组织推动以顾客为关注焦点</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保持环境管理和职业健康安全管理绩效</w:t>
            </w:r>
            <w:r>
              <w:rPr>
                <w:rFonts w:hint="eastAsia" w:ascii="宋体" w:hAnsi="宋体" w:cs="Arial"/>
                <w:spacing w:val="-6"/>
                <w:sz w:val="21"/>
                <w:szCs w:val="21"/>
              </w:rPr>
              <w:t>，确保在策划和实施管理体系变更时保持其完整性。</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highlight w:val="none"/>
              </w:rPr>
            </w:pPr>
            <w:r>
              <w:rPr>
                <w:rFonts w:hint="eastAsia"/>
                <w:highlight w:val="none"/>
              </w:rPr>
              <w:t>公司设置有</w:t>
            </w:r>
            <w:r>
              <w:rPr>
                <w:rFonts w:hint="eastAsia"/>
                <w:highlight w:val="none"/>
                <w:lang w:eastAsia="zh-CN"/>
              </w:rPr>
              <w:t>行政部、工程</w:t>
            </w:r>
            <w:r>
              <w:rPr>
                <w:rFonts w:hint="eastAsia"/>
                <w:highlight w:val="none"/>
              </w:rPr>
              <w:t>部</w:t>
            </w:r>
            <w:r>
              <w:rPr>
                <w:rFonts w:hint="eastAsia"/>
                <w:highlight w:val="none"/>
                <w:lang w:eastAsia="zh-CN"/>
              </w:rPr>
              <w:t>、</w:t>
            </w:r>
            <w:r>
              <w:rPr>
                <w:rFonts w:hint="eastAsia"/>
                <w:highlight w:val="none"/>
              </w:rPr>
              <w:t>供销部。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经查每个部门均有部门职责和权限，各岗位的职责和权限、任职要求在《</w:t>
            </w:r>
            <w:r>
              <w:rPr>
                <w:rFonts w:hint="eastAsia" w:ascii="宋体" w:hAnsi="宋体" w:cs="Arial"/>
                <w:spacing w:val="-6"/>
                <w:sz w:val="21"/>
                <w:szCs w:val="21"/>
                <w:lang w:val="en-US" w:eastAsia="zh-CN"/>
              </w:rPr>
              <w:t>管理手册</w:t>
            </w:r>
            <w:r>
              <w:rPr>
                <w:rFonts w:hint="eastAsia" w:ascii="宋体" w:hAnsi="宋体" w:cs="Arial"/>
                <w:spacing w:val="-6"/>
                <w:sz w:val="21"/>
                <w:szCs w:val="21"/>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经查问组织内的职责和权限基本得到沟通，通过文件发布、传达、会议、培训等了解有关职责和权限。同总经理交谈，对于自身职责权限比较清楚。</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资源</w:t>
            </w:r>
          </w:p>
        </w:tc>
        <w:tc>
          <w:tcPr>
            <w:tcW w:w="1216"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w:t>
            </w:r>
            <w:r>
              <w:rPr>
                <w:rFonts w:hint="eastAsia" w:ascii="宋体" w:hAnsi="宋体" w:cs="Arial"/>
                <w:spacing w:val="-6"/>
                <w:sz w:val="21"/>
                <w:szCs w:val="21"/>
              </w:rPr>
              <w:t>7.1.1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EO</w:t>
            </w:r>
            <w:r>
              <w:rPr>
                <w:rFonts w:hint="eastAsia" w:ascii="宋体" w:hAnsi="宋体" w:cs="Arial"/>
                <w:spacing w:val="-6"/>
                <w:sz w:val="21"/>
                <w:szCs w:val="21"/>
                <w:lang w:val="en-US" w:eastAsia="zh-CN"/>
              </w:rPr>
              <w:t>:</w:t>
            </w:r>
            <w:r>
              <w:rPr>
                <w:rFonts w:hint="eastAsia" w:ascii="宋体" w:hAnsi="宋体" w:cs="Arial"/>
                <w:spacing w:val="-6"/>
                <w:sz w:val="21"/>
                <w:szCs w:val="21"/>
              </w:rPr>
              <w:t>7.1</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Times New Roman" w:hAnsi="Times New Roman" w:eastAsia="宋体" w:cs="Times New Roman"/>
                <w:szCs w:val="22"/>
                <w:highlight w:val="none"/>
                <w:lang w:val="en-US" w:eastAsia="zh-CN"/>
              </w:rPr>
            </w:pPr>
            <w:r>
              <w:rPr>
                <w:rFonts w:hint="eastAsia" w:ascii="宋体" w:hAnsi="宋体" w:cs="Arial"/>
                <w:spacing w:val="-6"/>
                <w:sz w:val="21"/>
                <w:szCs w:val="21"/>
                <w:lang w:val="en-US" w:eastAsia="zh-CN"/>
              </w:rPr>
              <w:t>公司注册资金</w:t>
            </w:r>
            <w:r>
              <w:rPr>
                <w:rFonts w:hint="eastAsia" w:ascii="宋体" w:hAnsi="宋体" w:cs="Arial"/>
                <w:spacing w:val="-6"/>
                <w:sz w:val="21"/>
                <w:szCs w:val="21"/>
              </w:rPr>
              <w:t>公</w:t>
            </w:r>
            <w:r>
              <w:rPr>
                <w:rFonts w:hint="eastAsia" w:ascii="Times New Roman" w:hAnsi="Times New Roman" w:eastAsia="宋体" w:cs="Times New Roman"/>
                <w:szCs w:val="22"/>
                <w:highlight w:val="none"/>
                <w:lang w:val="zh-CN"/>
              </w:rPr>
              <w:t>司注册资本3000万元</w:t>
            </w:r>
            <w:r>
              <w:rPr>
                <w:rFonts w:hint="eastAsia" w:ascii="Times New Roman" w:hAnsi="Times New Roman" w:eastAsia="宋体" w:cs="Times New Roman"/>
                <w:szCs w:val="22"/>
                <w:highlight w:val="none"/>
                <w:lang w:val="en-US" w:eastAsia="zh-CN"/>
              </w:rPr>
              <w:t>；办公面积约1000平方米。</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szCs w:val="22"/>
                <w:highlight w:val="none"/>
                <w:lang w:val="zh-CN"/>
              </w:rPr>
            </w:pPr>
            <w:r>
              <w:rPr>
                <w:rFonts w:hint="eastAsia"/>
                <w:szCs w:val="22"/>
                <w:highlight w:val="none"/>
                <w:lang w:val="zh-CN"/>
              </w:rPr>
              <w:t>注册地址：江西省宜春市樟树市观上镇谭埠街98号，</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s="Arial"/>
                <w:spacing w:val="-6"/>
                <w:sz w:val="21"/>
                <w:szCs w:val="21"/>
                <w:lang w:val="en-US" w:eastAsia="zh-CN"/>
              </w:rPr>
            </w:pPr>
            <w:r>
              <w:rPr>
                <w:rFonts w:hint="eastAsia"/>
                <w:szCs w:val="22"/>
                <w:highlight w:val="none"/>
                <w:lang w:val="zh-CN"/>
              </w:rPr>
              <w:t>经营地址：</w:t>
            </w:r>
            <w:r>
              <w:rPr>
                <w:rFonts w:hint="eastAsia"/>
                <w:szCs w:val="22"/>
                <w:highlight w:val="none"/>
                <w:lang w:val="en-US" w:eastAsia="zh-CN"/>
              </w:rPr>
              <w:t>江西省宜春市樟树市张家山工业园内金属加工中心商业楼</w:t>
            </w:r>
            <w:r>
              <w:rPr>
                <w:rFonts w:hint="eastAsia" w:ascii="宋体" w:hAnsi="宋体" w:cs="Arial"/>
                <w:spacing w:val="-6"/>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公司现有员工15人，技术人员8人，</w:t>
            </w:r>
            <w:r>
              <w:rPr>
                <w:rFonts w:hint="eastAsia" w:ascii="宋体" w:hAnsi="宋体" w:eastAsia="宋体" w:cs="Arial"/>
                <w:spacing w:val="-6"/>
                <w:sz w:val="21"/>
                <w:szCs w:val="21"/>
                <w:lang w:val="en-US" w:eastAsia="zh-CN"/>
              </w:rPr>
              <w:t>持证电工1人</w:t>
            </w:r>
            <w:r>
              <w:rPr>
                <w:rFonts w:hint="eastAsia" w:ascii="宋体" w:hAnsi="宋体" w:eastAsia="宋体" w:cs="Arial"/>
                <w:spacing w:val="-6"/>
                <w:sz w:val="21"/>
                <w:szCs w:val="21"/>
                <w:lang w:val="zh-CN" w:eastAsia="zh-CN"/>
              </w:rPr>
              <w:t>；</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主要办公、检测设备有电脑，软件、</w:t>
            </w:r>
            <w:r>
              <w:rPr>
                <w:rFonts w:hint="eastAsia" w:ascii="宋体" w:hAnsi="宋体" w:eastAsia="宋体" w:cs="Arial"/>
                <w:spacing w:val="-6"/>
                <w:sz w:val="21"/>
                <w:szCs w:val="21"/>
                <w:lang w:val="en-US" w:eastAsia="zh-CN"/>
              </w:rPr>
              <w:t>直角尺、万用表、兆欧表</w:t>
            </w:r>
            <w:r>
              <w:rPr>
                <w:rFonts w:hint="eastAsia" w:ascii="宋体" w:hAnsi="宋体" w:eastAsia="宋体" w:cs="Arial"/>
                <w:spacing w:val="-6"/>
                <w:sz w:val="21"/>
                <w:szCs w:val="21"/>
                <w:lang w:val="zh-CN" w:eastAsia="zh-CN"/>
              </w:rPr>
              <w:t>等；</w:t>
            </w:r>
          </w:p>
          <w:p>
            <w:pPr>
              <w:keepNext w:val="0"/>
              <w:keepLines w:val="0"/>
              <w:pageBreakBefore w:val="0"/>
              <w:widowControl w:val="0"/>
              <w:kinsoku/>
              <w:wordWrap/>
              <w:overflowPunct/>
              <w:topLinePunct w:val="0"/>
              <w:autoSpaceDE/>
              <w:autoSpaceDN/>
              <w:bidi w:val="0"/>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确认公司目前人力资源、基础设施、财力、信息等资源均能保证。</w:t>
            </w:r>
          </w:p>
          <w:p>
            <w:pPr>
              <w:keepNext w:val="0"/>
              <w:keepLines w:val="0"/>
              <w:pageBreakBefore w:val="0"/>
              <w:widowControl w:val="0"/>
              <w:kinsoku/>
              <w:wordWrap/>
              <w:overflowPunct/>
              <w:topLinePunct w:val="0"/>
              <w:autoSpaceDE/>
              <w:autoSpaceDN/>
              <w:bidi w:val="0"/>
              <w:spacing w:line="360" w:lineRule="auto"/>
              <w:ind w:firstLine="396" w:firstLineChars="200"/>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办公</w:t>
            </w:r>
            <w:r>
              <w:rPr>
                <w:rFonts w:hint="default" w:ascii="宋体" w:hAnsi="宋体" w:eastAsia="宋体" w:cs="Arial"/>
                <w:spacing w:val="-6"/>
                <w:sz w:val="21"/>
                <w:szCs w:val="21"/>
                <w:lang w:val="en-US" w:eastAsia="zh-CN"/>
              </w:rPr>
              <w:t>现场配备了灭火器等消防安全设备，能保证企业正常办公。</w:t>
            </w:r>
          </w:p>
          <w:p>
            <w:pPr>
              <w:keepNext w:val="0"/>
              <w:keepLines w:val="0"/>
              <w:pageBreakBefore w:val="0"/>
              <w:widowControl w:val="0"/>
              <w:kinsoku/>
              <w:wordWrap/>
              <w:overflowPunct/>
              <w:topLinePunct w:val="0"/>
              <w:autoSpaceDE/>
              <w:autoSpaceDN/>
              <w:bidi w:val="0"/>
              <w:spacing w:line="360" w:lineRule="auto"/>
              <w:ind w:firstLine="396" w:firstLineChars="200"/>
              <w:rPr>
                <w:rFonts w:hint="default" w:ascii="宋体" w:hAnsi="宋体" w:eastAsia="宋体" w:cs="Arial"/>
                <w:spacing w:val="-6"/>
                <w:sz w:val="21"/>
                <w:szCs w:val="21"/>
                <w:lang w:val="en-US" w:eastAsia="zh-CN"/>
              </w:rPr>
            </w:pPr>
            <w:r>
              <w:rPr>
                <w:rFonts w:hint="default" w:ascii="宋体" w:hAnsi="宋体" w:eastAsia="宋体" w:cs="Arial"/>
                <w:spacing w:val="-6"/>
                <w:sz w:val="21"/>
                <w:szCs w:val="21"/>
                <w:lang w:val="en-US" w:eastAsia="zh-CN"/>
              </w:rPr>
              <w:t>公司财务能保证质量、环境、职业健康安全工作的开展，确保相关资金及时投入。</w:t>
            </w:r>
          </w:p>
          <w:p>
            <w:pPr>
              <w:keepNext w:val="0"/>
              <w:keepLines w:val="0"/>
              <w:pageBreakBefore w:val="0"/>
              <w:widowControl w:val="0"/>
              <w:kinsoku/>
              <w:wordWrap/>
              <w:overflowPunct/>
              <w:topLinePunct w:val="0"/>
              <w:autoSpaceDE/>
              <w:autoSpaceDN/>
              <w:bidi w:val="0"/>
              <w:spacing w:line="360" w:lineRule="auto"/>
              <w:ind w:firstLine="396" w:firstLineChars="200"/>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基本能满足体系运行的要求。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cs="Arial"/>
                <w:spacing w:val="-6"/>
                <w:sz w:val="21"/>
                <w:szCs w:val="21"/>
              </w:rPr>
            </w:pPr>
            <w:r>
              <w:rPr>
                <w:rFonts w:hint="eastAsia" w:ascii="宋体" w:hAnsi="宋体" w:cs="Arial"/>
                <w:spacing w:val="-6"/>
                <w:sz w:val="21"/>
                <w:szCs w:val="21"/>
              </w:rPr>
              <w:t>沟通</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信息交流</w:t>
            </w:r>
          </w:p>
        </w:tc>
        <w:tc>
          <w:tcPr>
            <w:tcW w:w="1216"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7.4</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en-US" w:eastAsia="zh-CN"/>
              </w:rPr>
              <w:t>公司</w:t>
            </w:r>
            <w:r>
              <w:rPr>
                <w:rFonts w:hint="eastAsia" w:ascii="宋体" w:hAnsi="宋体" w:eastAsia="宋体" w:cs="Arial"/>
                <w:spacing w:val="-6"/>
                <w:sz w:val="21"/>
                <w:szCs w:val="21"/>
                <w:lang w:val="zh-CN" w:eastAsia="zh-CN"/>
              </w:rPr>
              <w:t>建立了与体系有关的信息通渠沟道，借助于会议、电话、口头交流等方式使全体员工达到沟通和理解。</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目前各部门协调一致，工作基本理顺。</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日常对于质量、环保、安全方面的信息主要利用会议、培训、座谈、电话、网络、</w:t>
            </w:r>
            <w:r>
              <w:rPr>
                <w:rFonts w:hint="eastAsia" w:ascii="宋体" w:hAnsi="宋体" w:eastAsia="宋体" w:cs="Arial"/>
                <w:spacing w:val="-6"/>
                <w:sz w:val="21"/>
                <w:szCs w:val="21"/>
                <w:lang w:val="en-US" w:eastAsia="zh-CN"/>
              </w:rPr>
              <w:t>文件</w:t>
            </w:r>
            <w:r>
              <w:rPr>
                <w:rFonts w:hint="eastAsia" w:ascii="宋体" w:hAnsi="宋体" w:eastAsia="宋体" w:cs="Arial"/>
                <w:spacing w:val="-6"/>
                <w:sz w:val="21"/>
                <w:szCs w:val="21"/>
                <w:lang w:val="zh-CN" w:eastAsia="zh-CN"/>
              </w:rPr>
              <w:t>等方式进行内外部沟通和协商。</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en-US" w:eastAsia="zh-CN"/>
              </w:rPr>
              <w:t>保持“告各相关方的一封信”，与客户沟通环境保护和职业健康安全相关要求。</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zh-CN" w:eastAsia="zh-CN"/>
              </w:rPr>
              <w:t>现场查见会议记录、通知通报、培训记录等组织内部培训方式相关记录。</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zh-CN" w:eastAsia="zh-CN"/>
              </w:rPr>
            </w:pPr>
            <w:r>
              <w:rPr>
                <w:rFonts w:hint="eastAsia" w:ascii="宋体" w:hAnsi="宋体" w:eastAsia="宋体" w:cs="Arial"/>
                <w:spacing w:val="-6"/>
                <w:sz w:val="21"/>
                <w:szCs w:val="21"/>
                <w:lang w:val="en-US" w:eastAsia="zh-CN"/>
              </w:rPr>
              <w:t>介绍说，</w:t>
            </w:r>
            <w:r>
              <w:rPr>
                <w:rFonts w:hint="eastAsia" w:ascii="宋体" w:hAnsi="宋体" w:eastAsia="宋体" w:cs="Arial"/>
                <w:spacing w:val="-6"/>
                <w:sz w:val="21"/>
                <w:szCs w:val="21"/>
                <w:lang w:val="zh-CN" w:eastAsia="zh-CN"/>
              </w:rPr>
              <w:t>目前与</w:t>
            </w:r>
            <w:r>
              <w:rPr>
                <w:rFonts w:hint="eastAsia" w:ascii="宋体" w:hAnsi="宋体" w:eastAsia="宋体" w:cs="Arial"/>
                <w:spacing w:val="-6"/>
                <w:sz w:val="21"/>
                <w:szCs w:val="21"/>
                <w:lang w:val="en-US" w:eastAsia="zh-CN"/>
              </w:rPr>
              <w:t>外部</w:t>
            </w:r>
            <w:r>
              <w:rPr>
                <w:rFonts w:hint="eastAsia" w:ascii="宋体" w:hAnsi="宋体" w:eastAsia="宋体" w:cs="Arial"/>
                <w:spacing w:val="-6"/>
                <w:sz w:val="21"/>
                <w:szCs w:val="21"/>
                <w:lang w:val="zh-CN" w:eastAsia="zh-CN"/>
              </w:rPr>
              <w:t>的信息交流主要是参加会议、接收来文、电话、邮件等，均按要求予以传达和落实，沟通情况较好。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现有的沟通渠道和方法能满足要求。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216"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O:5.4</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公司经选举确定职业健康安全事务代表是徐江，管理手册中明确了其主要职责为：</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1.参与管理方针和程序的制定和评审；</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2.参与商讨影响工作场所职业健康安全的任何变化；</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3.参与职业健康安全的事务的处理。</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职业健康安全事务代表徐江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安全事务代表能履行职责。</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1216"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9.3</w:t>
            </w:r>
          </w:p>
        </w:tc>
        <w:tc>
          <w:tcPr>
            <w:tcW w:w="0" w:type="auto"/>
            <w:vAlign w:val="top"/>
          </w:tcPr>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2022年3月18日在公司会议室由林峰总经理主持召开管理评审会议；</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保留管理评审计划、管理评审报告、管理评审会议纪要等；</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管理评审输入未包含对上次管理评审改进措施的跟踪，交流；</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管理评审结论：建立和运行是充分的、适宜的、有效的。</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改进措施要求：</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加强供应商的管理；</w:t>
            </w:r>
          </w:p>
          <w:p>
            <w:pPr>
              <w:adjustRightInd w:val="0"/>
              <w:snapToGrid w:val="0"/>
              <w:spacing w:line="360" w:lineRule="auto"/>
              <w:ind w:right="105" w:rightChars="50" w:firstLine="396" w:firstLineChars="20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进一步组织对相关的法律、法规、规程和规范的学习。</w:t>
            </w:r>
            <w:bookmarkStart w:id="3" w:name="_GoBack"/>
            <w:bookmarkEnd w:id="3"/>
          </w:p>
          <w:p>
            <w:pPr>
              <w:adjustRightInd w:val="0"/>
              <w:snapToGrid w:val="0"/>
              <w:spacing w:line="360" w:lineRule="auto"/>
              <w:ind w:right="105" w:rightChars="50" w:firstLine="396" w:firstLineChars="200"/>
              <w:textAlignment w:val="baseline"/>
              <w:rPr>
                <w:rFonts w:hint="eastAsia" w:ascii="Times New Roman" w:hAnsi="Times New Roman" w:eastAsia="宋体" w:cs="Times New Roman"/>
                <w:kern w:val="2"/>
                <w:sz w:val="21"/>
                <w:lang w:val="en-US" w:eastAsia="zh-CN" w:bidi="ar-SA"/>
              </w:rPr>
            </w:pPr>
            <w:r>
              <w:rPr>
                <w:rFonts w:hint="eastAsia" w:ascii="宋体" w:hAnsi="宋体" w:eastAsia="宋体" w:cs="Arial"/>
                <w:spacing w:val="-6"/>
                <w:sz w:val="21"/>
                <w:szCs w:val="21"/>
                <w:lang w:val="en-US" w:eastAsia="zh-CN"/>
              </w:rPr>
              <w:t>保留有“管理评审改进措施计划”。</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04" w:type="dxa"/>
            <w:vAlign w:val="top"/>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1216"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QEO:</w:t>
            </w:r>
            <w:r>
              <w:rPr>
                <w:rFonts w:hint="eastAsia" w:ascii="宋体" w:hAnsi="宋体" w:cs="Arial"/>
                <w:spacing w:val="-6"/>
                <w:sz w:val="21"/>
                <w:szCs w:val="21"/>
              </w:rPr>
              <w:t>10.1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10.3</w:t>
            </w:r>
          </w:p>
        </w:tc>
        <w:tc>
          <w:tcPr>
            <w:tcW w:w="0" w:type="auto"/>
            <w:vAlign w:val="top"/>
          </w:tcPr>
          <w:p>
            <w:pPr>
              <w:adjustRightInd w:val="0"/>
              <w:snapToGrid w:val="0"/>
              <w:spacing w:line="360" w:lineRule="auto"/>
              <w:ind w:right="105" w:rightChars="50" w:firstLine="372" w:firstLineChars="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sz w:val="21"/>
                <w:szCs w:val="21"/>
                <w:lang w:val="en-US" w:eastAsia="zh-CN"/>
              </w:rPr>
              <w:t>管理者代表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216" w:type="dxa"/>
            <w:vAlign w:val="top"/>
          </w:tcPr>
          <w:p>
            <w:pPr>
              <w:jc w:val="center"/>
              <w:rPr>
                <w:rFonts w:hint="eastAsia" w:ascii="宋体" w:hAnsi="宋体" w:eastAsia="宋体" w:cs="Arial"/>
                <w:spacing w:val="-6"/>
                <w:kern w:val="2"/>
                <w:sz w:val="21"/>
                <w:szCs w:val="21"/>
                <w:lang w:val="en-US" w:eastAsia="zh-CN" w:bidi="ar-SA"/>
              </w:rPr>
            </w:pPr>
          </w:p>
        </w:tc>
        <w:tc>
          <w:tcPr>
            <w:tcW w:w="0" w:type="auto"/>
            <w:vAlign w:val="center"/>
          </w:tcPr>
          <w:p>
            <w:pPr>
              <w:adjustRightInd w:val="0"/>
              <w:snapToGrid w:val="0"/>
              <w:spacing w:line="360" w:lineRule="auto"/>
              <w:ind w:right="105" w:rightChars="50" w:firstLine="372" w:firstLineChars="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sz w:val="21"/>
                <w:szCs w:val="21"/>
                <w:lang w:val="en-US" w:eastAsia="zh-CN"/>
              </w:rPr>
              <w:t>未发生重大质量事故、安全事故、准守法律法规要求。</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上次</w:t>
            </w:r>
            <w:r>
              <w:rPr>
                <w:rFonts w:hint="eastAsia" w:ascii="宋体" w:hAnsi="宋体" w:cs="Arial"/>
                <w:spacing w:val="-6"/>
                <w:sz w:val="21"/>
                <w:szCs w:val="21"/>
              </w:rPr>
              <w:t>审核不符合项的验证</w:t>
            </w:r>
          </w:p>
        </w:tc>
        <w:tc>
          <w:tcPr>
            <w:tcW w:w="1216" w:type="dxa"/>
            <w:vAlign w:val="top"/>
          </w:tcPr>
          <w:p>
            <w:pPr>
              <w:jc w:val="center"/>
              <w:rPr>
                <w:rFonts w:hint="eastAsia" w:ascii="宋体" w:hAnsi="宋体" w:eastAsia="宋体" w:cs="Arial"/>
                <w:spacing w:val="-6"/>
                <w:kern w:val="2"/>
                <w:sz w:val="21"/>
                <w:szCs w:val="21"/>
                <w:lang w:val="en-US" w:eastAsia="zh-CN" w:bidi="ar-SA"/>
              </w:rPr>
            </w:pPr>
          </w:p>
        </w:tc>
        <w:tc>
          <w:tcPr>
            <w:tcW w:w="0" w:type="auto"/>
            <w:vAlign w:val="center"/>
          </w:tcPr>
          <w:p>
            <w:pPr>
              <w:adjustRightInd w:val="0"/>
              <w:snapToGrid w:val="0"/>
              <w:spacing w:line="360" w:lineRule="auto"/>
              <w:ind w:right="105" w:rightChars="50" w:firstLine="372" w:firstLineChars="0"/>
              <w:textAlignment w:val="baseline"/>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上次审核未开具不符合报告。</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1216" w:type="dxa"/>
            <w:vAlign w:val="top"/>
          </w:tcPr>
          <w:p>
            <w:pPr>
              <w:jc w:val="center"/>
              <w:rPr>
                <w:rFonts w:hint="eastAsia" w:ascii="宋体" w:hAnsi="宋体" w:eastAsia="宋体" w:cs="Arial"/>
                <w:spacing w:val="-6"/>
                <w:kern w:val="2"/>
                <w:sz w:val="21"/>
                <w:szCs w:val="21"/>
                <w:lang w:val="en-US" w:eastAsia="zh-CN" w:bidi="ar-SA"/>
              </w:rPr>
            </w:pPr>
          </w:p>
        </w:tc>
        <w:tc>
          <w:tcPr>
            <w:tcW w:w="0" w:type="auto"/>
            <w:vAlign w:val="center"/>
          </w:tcPr>
          <w:p>
            <w:pPr>
              <w:adjustRightInd w:val="0"/>
              <w:snapToGrid w:val="0"/>
              <w:spacing w:line="360" w:lineRule="auto"/>
              <w:ind w:right="105" w:rightChars="50" w:firstLine="372" w:firstLineChars="0"/>
              <w:textAlignment w:val="baseline"/>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符合要求，未用于广告。</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216" w:type="dxa"/>
            <w:vAlign w:val="top"/>
          </w:tcPr>
          <w:p>
            <w:pPr>
              <w:jc w:val="center"/>
              <w:rPr>
                <w:rFonts w:hint="eastAsia" w:ascii="宋体" w:hAnsi="宋体" w:eastAsia="宋体" w:cs="Arial"/>
                <w:spacing w:val="-6"/>
                <w:kern w:val="2"/>
                <w:sz w:val="21"/>
                <w:szCs w:val="21"/>
                <w:lang w:val="en-US" w:eastAsia="zh-CN" w:bidi="ar-SA"/>
              </w:rPr>
            </w:pPr>
          </w:p>
        </w:tc>
        <w:tc>
          <w:tcPr>
            <w:tcW w:w="0" w:type="auto"/>
            <w:vAlign w:val="center"/>
          </w:tcPr>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自公司成立以来，未受到上级主管部门有关质量、环境、职业健康安全的行政处罚。</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未发生相关方的投诉。</w:t>
            </w:r>
          </w:p>
          <w:p>
            <w:pPr>
              <w:adjustRightInd w:val="0"/>
              <w:snapToGrid w:val="0"/>
              <w:spacing w:line="360" w:lineRule="auto"/>
              <w:ind w:right="105" w:rightChars="50" w:firstLine="372" w:firstLineChars="0"/>
              <w:textAlignment w:val="baseline"/>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highlight w:val="none"/>
                <w:lang w:val="en-US" w:eastAsia="zh-CN"/>
              </w:rPr>
              <w:t>暂时没有国家/地方抽查情况。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7147C"/>
    <w:rsid w:val="41B75C35"/>
    <w:rsid w:val="41B87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4301</Words>
  <Characters>4520</Characters>
  <Lines>1</Lines>
  <Paragraphs>1</Paragraphs>
  <TotalTime>11</TotalTime>
  <ScaleCrop>false</ScaleCrop>
  <LinksUpToDate>false</LinksUpToDate>
  <CharactersWithSpaces>4560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2022-03-22T09:04:28Z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B22109E14AD34D14AFB718EC28E3E2FC</vt:lpwstr>
  </property>
  <property fmtid="{D5CDD505-2E9C-101B-9397-08002B2CF9AE}" pid="3" name="KSOProductBuildVer">
    <vt:lpwstr>2052-11.1.0.11365</vt:lpwstr>
  </property>
</Properties>
</file>