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66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5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主管领导：何建如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曾霞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劳世中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褚敏杰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2022年03月23日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054" w:type="dxa"/>
            <w:vMerge w:val="continue"/>
            <w:vAlign w:val="center"/>
          </w:tcPr>
          <w:p/>
        </w:tc>
        <w:tc>
          <w:tcPr>
            <w:tcW w:w="1066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:5.3组织的岗位、职责和权限、6.2质量目标、8.2顾客要求、8.4外部提供过程/产品和服务的控制、8.5.3顾客财产、8.5.5交付后活动、9.1.2顾客满意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:5.3组织的岗位、职责和权限、6.2环境/危险源目标、6.1.2环境因素/危险源的识别与评价、6.1.4措施的策划、8.1运行策划和控制、8.2应急准备和响应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组织的岗位、职责和权限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部门共</w:t>
            </w:r>
            <w:r>
              <w:rPr>
                <w:rFonts w:hint="eastAsia" w:hAnsi="宋体"/>
                <w:szCs w:val="21"/>
                <w:lang w:eastAsia="zh-CN"/>
              </w:rPr>
              <w:t>有</w:t>
            </w:r>
            <w:r>
              <w:rPr>
                <w:rFonts w:hint="eastAsia" w:hAnsi="宋体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szCs w:val="21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  <w:r>
              <w:rPr>
                <w:rFonts w:hint="eastAsia" w:hAnsi="宋体"/>
                <w:szCs w:val="21"/>
              </w:rPr>
              <w:t>本部门环境因素和危险源识别和控制。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查见“公司各部门目标实施措施表”，显示对各部门进行了目标分解，并制定实施措施，供销部目标：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 xml:space="preserve">确保与顾客沟通渠道畅通，确保有效合同履约率100%；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建立合格供方，确保采购产品100%合格；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 xml:space="preserve">顾客满意度大于94分；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火灾事故发生率为0；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查见“目标考核表”，2022.4，显示目标均已实现。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产品和服务的要求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公司与顾客的</w:t>
            </w:r>
            <w:r>
              <w:rPr>
                <w:rFonts w:hAnsi="宋体"/>
                <w:szCs w:val="21"/>
              </w:rPr>
              <w:t>沟通方式主要是电话、资料传递、招投标会、交流会等形式宣传本公司有关产品及公司的有关信誉等。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公司主要通过招标会、客户的走访、交流会等了解市场的需求状态。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介绍说，公司产品主要通过招投标进行销售，中标后签订合同。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提供</w:t>
            </w:r>
            <w:r>
              <w:rPr>
                <w:rFonts w:hint="eastAsia" w:hAnsi="宋体"/>
                <w:szCs w:val="21"/>
              </w:rPr>
              <w:t>销售合同：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</w:rPr>
              <w:t>1、202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/>
                <w:szCs w:val="21"/>
                <w:highlight w:val="none"/>
              </w:rPr>
              <w:t>.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hAnsi="宋体"/>
                <w:szCs w:val="21"/>
                <w:highlight w:val="none"/>
              </w:rPr>
              <w:t>.1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  <w:highlight w:val="none"/>
              </w:rPr>
              <w:t>日合同——需方：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樟树市观上镇人民政府</w:t>
            </w:r>
            <w:r>
              <w:rPr>
                <w:rFonts w:hint="eastAsia" w:hAnsi="宋体"/>
                <w:szCs w:val="21"/>
                <w:highlight w:val="none"/>
              </w:rPr>
              <w:t>——产品：观上镇文化广场LED室外全彩屏采购项目合同；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eastAsia" w:hAnsi="宋体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Cs w:val="21"/>
                <w:highlight w:val="none"/>
              </w:rPr>
              <w:t>2、202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/>
                <w:szCs w:val="21"/>
                <w:highlight w:val="none"/>
              </w:rPr>
              <w:t>.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hAnsi="宋体"/>
                <w:szCs w:val="21"/>
                <w:highlight w:val="none"/>
              </w:rPr>
              <w:t>月合同书——需方：奉新铜锣湾置业有限公司——项目名称：</w:t>
            </w:r>
            <w:r>
              <w:rPr>
                <w:rFonts w:hint="eastAsia" w:hAnsi="宋体"/>
                <w:szCs w:val="21"/>
                <w:highlight w:val="none"/>
                <w:lang w:eastAsia="zh-CN"/>
              </w:rPr>
              <w:t>弱电安装工程；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以上合同均通过评审</w:t>
            </w:r>
            <w:r>
              <w:rPr>
                <w:rFonts w:hint="eastAsia" w:hAnsi="宋体"/>
                <w:szCs w:val="21"/>
                <w:lang w:eastAsia="zh-CN"/>
              </w:rPr>
              <w:t>后</w:t>
            </w:r>
            <w:r>
              <w:rPr>
                <w:rFonts w:hint="eastAsia" w:hAnsi="宋体"/>
                <w:szCs w:val="21"/>
              </w:rPr>
              <w:t>，合同双方签字盖章。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介绍说，目前公司的项目周期比较长，同时</w:t>
            </w:r>
            <w:r>
              <w:rPr>
                <w:rFonts w:hint="eastAsia" w:hAnsi="宋体"/>
                <w:szCs w:val="21"/>
                <w:lang w:val="en-US" w:eastAsia="zh-CN"/>
              </w:rPr>
              <w:t>2021年受疫情影响，项目很少；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介绍</w:t>
            </w:r>
            <w:r>
              <w:rPr>
                <w:rFonts w:hint="eastAsia" w:hAnsi="宋体"/>
                <w:szCs w:val="21"/>
                <w:lang w:eastAsia="zh-CN"/>
              </w:rPr>
              <w:t>说</w:t>
            </w:r>
            <w:r>
              <w:rPr>
                <w:rFonts w:hint="eastAsia" w:hAnsi="宋体"/>
                <w:szCs w:val="21"/>
              </w:rPr>
              <w:t>目前尚未发生合同更改的情况。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30" w:afterLines="30" w:line="360" w:lineRule="auto"/>
              <w:ind w:right="-6" w:rightChars="-3" w:firstLine="420" w:firstLineChars="200"/>
              <w:rPr>
                <w:rFonts w:ascii="Times New Roman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查见《采购控制程序》，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未变更</w:t>
            </w:r>
            <w:r>
              <w:rPr>
                <w:rFonts w:hint="eastAsia"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提供了《合格供方名录》，主要有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昆山亨达网络科技有限公司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爱谱华顿配线架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广州粤道智能科技发展有限公司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网络模块、面板、跳线、光缆、电源线、视频线等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苏州皇霆智能科技有限公司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电梯无线电梯网桥、高清视频解码器、平台服务器、控制键盘、液晶拼接屏、门禁控制器等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深圳市德孚力奥科技有限公司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路由器、交换机、无线AP等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湖北立兴达电线电缆有限公司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芯室外单模光缆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南昌海康威视数字技术有限公司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硬盘录像机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宏得建材贸易有限公司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网线、线管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四川中衡源线缆有限公司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控制电缆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江西省卓效智能科技有限公司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非屏蔽模块、交换机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青海长洋电缆桥架有限公司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防火槽式水平桥架、靠墙托臂支架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甘肃腾远建材科技股份有限公司</w:t>
            </w:r>
            <w:r>
              <w:rPr>
                <w:rFonts w:hint="eastAsia" w:hAnsi="宋体" w:cs="Times New Roman"/>
                <w:szCs w:val="21"/>
                <w:highlight w:val="none"/>
                <w:lang w:eastAsia="zh-CN"/>
              </w:rPr>
              <w:t>——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</w:rPr>
              <w:t>PE穿线管</w:t>
            </w:r>
            <w:r>
              <w:rPr>
                <w:rFonts w:hint="eastAsia" w:ascii="Times New Roman" w:hAnsi="宋体" w:eastAsia="宋体" w:cs="Times New Roman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查见《供方调查评定表》，评价项目主要有生产设备、生产场地、技术能力、通信条件、长期可靠、信誉等，对以上供方进行了调查评价，评价结果合格。评价人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批准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人署名；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供方评价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</w:t>
            </w:r>
            <w:r>
              <w:rPr>
                <w:rFonts w:hint="eastAsia" w:ascii="Times New Roman" w:hAnsi="宋体" w:eastAsia="宋体" w:cs="Times New Roman"/>
                <w:szCs w:val="21"/>
              </w:rPr>
              <w:t>考虑环境及职业健康安全方面的要求，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交流</w:t>
            </w:r>
            <w:r>
              <w:rPr>
                <w:rFonts w:hint="eastAsia"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抽查采购合同：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1、202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1.10.12</w:t>
            </w:r>
            <w:r>
              <w:rPr>
                <w:rFonts w:hint="eastAsia" w:ascii="Times New Roman" w:hAnsi="宋体" w:eastAsia="宋体" w:cs="Times New Roman"/>
                <w:szCs w:val="21"/>
              </w:rPr>
              <w:t>购销合同——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湖北立兴达电线电缆</w:t>
            </w:r>
            <w:r>
              <w:rPr>
                <w:rFonts w:hint="eastAsia" w:ascii="Times New Roman" w:hAnsi="宋体" w:eastAsia="宋体" w:cs="Times New Roman"/>
                <w:szCs w:val="21"/>
              </w:rPr>
              <w:t>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8芯室外单模光缆</w:t>
            </w:r>
            <w:r>
              <w:rPr>
                <w:rFonts w:hint="eastAsia" w:ascii="Times New Roman" w:hAnsi="宋体" w:eastAsia="宋体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2、202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2.2.24</w:t>
            </w:r>
            <w:r>
              <w:rPr>
                <w:rFonts w:hint="eastAsia" w:ascii="Times New Roman" w:hAnsi="宋体" w:eastAsia="宋体" w:cs="Times New Roman"/>
                <w:szCs w:val="21"/>
              </w:rPr>
              <w:t>购销合同——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南昌海康威视数字技术</w:t>
            </w:r>
            <w:r>
              <w:rPr>
                <w:rFonts w:hint="eastAsia" w:ascii="Times New Roman" w:hAnsi="宋体" w:eastAsia="宋体" w:cs="Times New Roman"/>
                <w:szCs w:val="21"/>
              </w:rPr>
              <w:t>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，硬盘录像机</w:t>
            </w:r>
            <w:r>
              <w:rPr>
                <w:rFonts w:hint="eastAsia" w:ascii="Times New Roman" w:hAnsi="宋体" w:eastAsia="宋体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3、202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2.1.9</w:t>
            </w:r>
            <w:r>
              <w:rPr>
                <w:rFonts w:hint="eastAsia" w:ascii="Times New Roman" w:hAnsi="宋体" w:eastAsia="宋体" w:cs="Times New Roman"/>
                <w:szCs w:val="21"/>
              </w:rPr>
              <w:t>购销合同——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宏得建材贸易</w:t>
            </w:r>
            <w:r>
              <w:rPr>
                <w:rFonts w:hint="eastAsia" w:ascii="Times New Roman" w:hAnsi="宋体" w:eastAsia="宋体" w:cs="Times New Roman"/>
                <w:szCs w:val="21"/>
              </w:rPr>
              <w:t>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，网线、线管等</w:t>
            </w:r>
            <w:r>
              <w:rPr>
                <w:rFonts w:hint="eastAsia" w:ascii="Times New Roman" w:hAnsi="宋体" w:eastAsia="宋体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4、2021.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10.6</w:t>
            </w:r>
            <w:r>
              <w:rPr>
                <w:rFonts w:hint="eastAsia" w:ascii="Times New Roman" w:hAnsi="宋体" w:eastAsia="宋体" w:cs="Times New Roman"/>
                <w:szCs w:val="21"/>
              </w:rPr>
              <w:t>购销合同——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四川中衡源线缆</w:t>
            </w:r>
            <w:r>
              <w:rPr>
                <w:rFonts w:hint="eastAsia" w:ascii="Times New Roman" w:hAnsi="宋体" w:eastAsia="宋体" w:cs="Times New Roman"/>
                <w:szCs w:val="21"/>
              </w:rPr>
              <w:t>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，控制电缆</w:t>
            </w:r>
            <w:r>
              <w:rPr>
                <w:rFonts w:hint="eastAsia" w:ascii="Times New Roman" w:hAnsi="宋体" w:eastAsia="宋体" w:cs="Times New Roman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5、202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2.1.19</w:t>
            </w:r>
            <w:r>
              <w:rPr>
                <w:rFonts w:hint="eastAsia" w:ascii="Times New Roman" w:hAnsi="宋体" w:eastAsia="宋体" w:cs="Times New Roman"/>
                <w:szCs w:val="21"/>
              </w:rPr>
              <w:t>购销合同——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江西省卓效智能科技</w:t>
            </w:r>
            <w:r>
              <w:rPr>
                <w:rFonts w:hint="eastAsia" w:ascii="Times New Roman" w:hAnsi="宋体" w:eastAsia="宋体" w:cs="Times New Roman"/>
                <w:szCs w:val="21"/>
              </w:rPr>
              <w:t>有限公司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，非屏蔽模块、交换机</w:t>
            </w:r>
            <w:r>
              <w:rPr>
                <w:rFonts w:hint="eastAsia" w:ascii="Times New Roman" w:hAnsi="宋体" w:eastAsia="宋体" w:cs="Times New Roman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以上合同</w:t>
            </w:r>
            <w:r>
              <w:rPr>
                <w:rFonts w:hint="eastAsia" w:ascii="Times New Roman" w:hAnsi="宋体" w:eastAsia="宋体" w:cs="Times New Roman"/>
                <w:szCs w:val="21"/>
              </w:rPr>
              <w:t>明确了规格型号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数量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单价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Cs w:val="21"/>
              </w:rPr>
              <w:t>金额、交付方式、运输、交提货地点、发货时间、违约责任等，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双方</w:t>
            </w:r>
            <w:r>
              <w:rPr>
                <w:rFonts w:hint="eastAsia" w:ascii="Times New Roman" w:hAnsi="宋体" w:eastAsia="宋体" w:cs="Times New Roman"/>
                <w:szCs w:val="21"/>
              </w:rPr>
              <w:t>签字盖章；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介绍说，采购物资的验收有工程部实施，并保留证据。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-6" w:rightChars="-3"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基本符合要求。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顾客或外部供方的财产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Q8.5.3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公司的</w:t>
            </w:r>
            <w:r>
              <w:rPr>
                <w:rFonts w:hint="eastAsia" w:hAnsi="宋体"/>
                <w:szCs w:val="21"/>
                <w:lang w:eastAsia="zh-CN"/>
              </w:rPr>
              <w:t>顾客财产主要是客户信息，</w:t>
            </w:r>
            <w:r>
              <w:rPr>
                <w:rFonts w:hAnsi="宋体"/>
                <w:szCs w:val="21"/>
              </w:rPr>
              <w:t>公司对顾客相关信息做相关保密规定，明确了对顾客或外部供方财产的登记、验收、保护、使用等相关要求。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交付后活动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Q8.5.5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lang w:eastAsia="zh-CN"/>
              </w:rPr>
              <w:t>介绍说，</w:t>
            </w:r>
            <w:r>
              <w:t>如客户在使用过程中出现问题，先通过电话进行解决，如远程无法解决，派专人到客户现场实地协调解决。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  <w:lang w:eastAsia="zh-CN"/>
              </w:rPr>
              <w:t>提供与客户沟通的电子信息或微信截图，基本符合。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客户满意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Q9.1.2 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公司编制《顾客满意度控制程序》，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未变化；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20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宋体" w:eastAsia="宋体" w:cs="Times New Roman"/>
                <w:szCs w:val="21"/>
              </w:rPr>
              <w:t>年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宋体" w:eastAsia="宋体" w:cs="Times New Roman"/>
                <w:szCs w:val="21"/>
              </w:rPr>
              <w:t>月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宋体" w:eastAsia="宋体" w:cs="Times New Roman"/>
                <w:szCs w:val="21"/>
              </w:rPr>
              <w:t>日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，发放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《顾客满意度调查记录表》</w:t>
            </w: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4份，回收4份；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查见</w:t>
            </w:r>
            <w:r>
              <w:rPr>
                <w:rFonts w:ascii="Times New Roman" w:hAnsi="宋体" w:eastAsia="宋体" w:cs="Times New Roman"/>
                <w:szCs w:val="21"/>
              </w:rPr>
              <w:t>《顾客满意度调查分析》，对顾客满意度指标完成情况、顾客建议改进方向等予以分析汇总，经评价测算客户满意度得分</w:t>
            </w:r>
            <w:r>
              <w:rPr>
                <w:rFonts w:hint="eastAsia" w:ascii="Times New Roman" w:hAnsi="宋体" w:eastAsia="宋体" w:cs="Times New Roman"/>
                <w:szCs w:val="21"/>
              </w:rPr>
              <w:t>97.75分</w:t>
            </w:r>
            <w:r>
              <w:rPr>
                <w:rFonts w:ascii="Times New Roman" w:hAnsi="宋体" w:eastAsia="宋体" w:cs="Times New Roman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企业对顾客满意度的调查、分析利用进行了策划并实施，基本符合标准条款的要求。</w:t>
            </w:r>
            <w:bookmarkStart w:id="2" w:name="_GoBack"/>
            <w:bookmarkEnd w:id="2"/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环境因素/危险源辨识与评价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查有：《环境因素和危险源识别评价与控制程序》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Ansi="宋体"/>
                <w:szCs w:val="21"/>
              </w:rPr>
              <w:t>供销部按照办公过程和采购服务过程对环境因素、危险源进行了辨识，辨识时考虑了三种时态：过去、现在和将来，和三种状态：正常、异常和紧急。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Ansi="宋体"/>
                <w:szCs w:val="21"/>
              </w:rPr>
              <w:t>环境因素识别与评价表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Ansi="宋体"/>
                <w:szCs w:val="21"/>
              </w:rPr>
              <w:t>，识别了本部门在办公、采购、储存等各有关过程的环境因素，包括纸张消耗、生活垃圾处理、汽车尾气排放、包装材料处理、火灾发生等环境因素，识别时能考虑产品生命周期观点。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打分法评价，</w:t>
            </w:r>
            <w:r>
              <w:rPr>
                <w:rFonts w:hAnsi="宋体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Ansi="宋体"/>
                <w:szCs w:val="21"/>
              </w:rPr>
              <w:t>重要环境因素清单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Ansi="宋体"/>
                <w:szCs w:val="21"/>
              </w:rPr>
              <w:t>，涉及供销部重要环境因素：火灾、固废。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控制措施：固废分类存放，包装物分类卖掉，日常检查、配备有消防器材、制定应急预案等措施。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Ansi="宋体"/>
                <w:szCs w:val="21"/>
              </w:rPr>
              <w:t>危险源调查表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Ansi="宋体"/>
                <w:szCs w:val="21"/>
              </w:rPr>
              <w:t>，识别了电源电器老化损坏触电、接线板负荷过重、交通意外人身伤害等危险源。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查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Ansi="宋体"/>
                <w:szCs w:val="21"/>
              </w:rPr>
              <w:t>不可接受危险源清单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Ansi="宋体"/>
                <w:szCs w:val="21"/>
              </w:rPr>
              <w:t>，涉及供销部的不可接受风险：潜在火灾、触电。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Ansi="宋体"/>
                <w:szCs w:val="21"/>
              </w:rPr>
              <w:t>控制措施：危险源控制执行管理方案、个体防护、日常检查、培训教育等运行控制措施。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电脑要求人走后电源切断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垃圾主要包含可回收垃圾、硒鼓、废纸。公司配置了垃圾箱，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现场巡视办公区域配备了消防栓和灭火器，状况正常。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向相关方发放《相关方告知书》</w:t>
            </w:r>
            <w:r>
              <w:rPr>
                <w:rFonts w:hint="eastAsia" w:hAnsi="宋体"/>
                <w:szCs w:val="21"/>
                <w:lang w:eastAsia="zh-CN"/>
              </w:rPr>
              <w:t>、</w:t>
            </w:r>
            <w:r>
              <w:rPr>
                <w:rFonts w:hAnsi="宋体"/>
                <w:szCs w:val="21"/>
              </w:rPr>
              <w:t>《重要相关方施加影响一览表》，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对外招投标和业务洽谈时明确承诺公司产品环保、节能、无毒无害。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参加公司组织的应急救援演练</w:t>
            </w:r>
            <w:r>
              <w:rPr>
                <w:rFonts w:hint="eastAsia" w:hAnsi="宋体"/>
                <w:szCs w:val="21"/>
                <w:lang w:eastAsia="zh-CN"/>
              </w:rPr>
              <w:t>，详见行政部审核记录</w:t>
            </w:r>
            <w:r>
              <w:rPr>
                <w:rFonts w:hAnsi="宋体"/>
                <w:szCs w:val="21"/>
              </w:rPr>
              <w:t>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82259"/>
    <w:rsid w:val="37835210"/>
    <w:rsid w:val="58A9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2843</Words>
  <Characters>3021</Characters>
  <Lines>1</Lines>
  <Paragraphs>1</Paragraphs>
  <TotalTime>41</TotalTime>
  <ScaleCrop>false</ScaleCrop>
  <LinksUpToDate>false</LinksUpToDate>
  <CharactersWithSpaces>3054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2022-03-22T05:20:20Z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1DA14C0657FA48B2B5E4AE13278A18FF</vt:lpwstr>
  </property>
  <property fmtid="{D5CDD505-2E9C-101B-9397-08002B2CF9AE}" pid="3" name="KSOProductBuildVer">
    <vt:lpwstr>2052-11.1.0.11365</vt:lpwstr>
  </property>
</Properties>
</file>