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受审核部门：管理层/员工代表 主管领导：刘建良、刘增锦  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0" w:name="审核日期"/>
            <w:r>
              <w:rPr>
                <w:rFonts w:hint="eastAsia"/>
                <w:sz w:val="24"/>
                <w:szCs w:val="24"/>
              </w:rPr>
              <w:t>2022年04月29日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O</w:t>
            </w:r>
            <w:r>
              <w:rPr>
                <w:rFonts w:hint="eastAsia" w:ascii="宋体" w:hAnsi="宋体" w:eastAsia="宋体" w:cs="Arial"/>
                <w:color w:val="auto"/>
                <w:spacing w:val="-6"/>
                <w:sz w:val="21"/>
                <w:szCs w:val="21"/>
              </w:rPr>
              <w:t>:4.1理解组织及其环境、4.2理解相关方的需求和期望、4.3确定管理体系的范围、4.4质量/环境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管理体系及其过程、</w:t>
            </w:r>
            <w:r>
              <w:rPr>
                <w:rFonts w:hint="eastAsia" w:ascii="宋体" w:hAnsi="宋体" w:eastAsia="宋体" w:cs="Arial"/>
                <w:color w:val="auto"/>
                <w:spacing w:val="-6"/>
                <w:sz w:val="21"/>
                <w:szCs w:val="21"/>
                <w:lang w:val="en-US" w:eastAsia="zh-CN"/>
              </w:rPr>
              <w:t>5.1领导作用、</w:t>
            </w:r>
            <w:r>
              <w:rPr>
                <w:rFonts w:hint="eastAsia" w:ascii="宋体" w:hAnsi="宋体" w:eastAsia="宋体" w:cs="Arial"/>
                <w:color w:val="auto"/>
                <w:spacing w:val="-6"/>
                <w:sz w:val="21"/>
                <w:szCs w:val="21"/>
              </w:rPr>
              <w:t>5.2质量/环境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方针、5.3组织的岗位、职责和权限、6.1应对风险和机遇的措施、6.2质量/环境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目标及其实现的策划、7.1.1（E</w:t>
            </w:r>
            <w:r>
              <w:rPr>
                <w:rFonts w:hint="eastAsia" w:ascii="宋体" w:hAnsi="宋体" w:eastAsia="宋体" w:cs="Arial"/>
                <w:color w:val="auto"/>
                <w:spacing w:val="-6"/>
                <w:sz w:val="21"/>
                <w:szCs w:val="21"/>
                <w:lang w:val="en-US" w:eastAsia="zh-CN"/>
              </w:rPr>
              <w:t>O</w:t>
            </w:r>
            <w:r>
              <w:rPr>
                <w:rFonts w:hint="eastAsia" w:ascii="宋体" w:hAnsi="宋体" w:eastAsia="宋体" w:cs="Arial"/>
                <w:color w:val="auto"/>
                <w:spacing w:val="-6"/>
                <w:sz w:val="21"/>
                <w:szCs w:val="21"/>
              </w:rPr>
              <w:t>7.1）资源总则、7.4沟通/信息交流、9.3管理评审、10持续改进</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O</w:t>
            </w:r>
            <w:r>
              <w:rPr>
                <w:rFonts w:hint="eastAsia" w:ascii="宋体" w:hAnsi="宋体" w:eastAsia="宋体" w:cs="Arial"/>
                <w:color w:val="auto"/>
                <w:spacing w:val="-6"/>
                <w:sz w:val="21"/>
                <w:szCs w:val="21"/>
              </w:rPr>
              <w:t>5.4协商与参与</w:t>
            </w:r>
          </w:p>
          <w:p>
            <w:pPr>
              <w:rPr>
                <w:rFonts w:hint="eastAsia"/>
                <w:sz w:val="24"/>
                <w:szCs w:val="24"/>
              </w:rPr>
            </w:pPr>
            <w:r>
              <w:rPr>
                <w:rFonts w:hint="eastAsia" w:ascii="宋体" w:hAnsi="宋体" w:eastAsia="宋体" w:cs="Arial"/>
                <w:color w:val="auto"/>
                <w:spacing w:val="-6"/>
                <w:sz w:val="21"/>
                <w:szCs w:val="21"/>
              </w:rPr>
              <w:t>标准/规范/法规的执行情况、</w:t>
            </w:r>
            <w:r>
              <w:rPr>
                <w:rFonts w:hint="eastAsia" w:ascii="宋体" w:hAnsi="宋体" w:eastAsia="宋体" w:cs="Arial"/>
                <w:color w:val="auto"/>
                <w:spacing w:val="-6"/>
                <w:sz w:val="21"/>
                <w:szCs w:val="21"/>
                <w:lang w:val="en-US" w:eastAsia="zh-CN"/>
              </w:rPr>
              <w:t>上次</w:t>
            </w:r>
            <w:r>
              <w:rPr>
                <w:rFonts w:hint="eastAsia" w:ascii="宋体" w:hAnsi="宋体" w:eastAsia="宋体" w:cs="Arial"/>
                <w:color w:val="auto"/>
                <w:spacing w:val="-6"/>
                <w:sz w:val="21"/>
                <w:szCs w:val="21"/>
              </w:rPr>
              <w:t>审核不符合项的验证、认证证书、标志的使用情况、投诉或事故、监督抽查情况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96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O:4.1</w:t>
            </w:r>
          </w:p>
        </w:tc>
        <w:tc>
          <w:tcPr>
            <w:tcW w:w="10004" w:type="dxa"/>
            <w:vAlign w:val="top"/>
          </w:tcPr>
          <w:p>
            <w:pPr>
              <w:keepNext w:val="0"/>
              <w:keepLines w:val="0"/>
              <w:pageBreakBefore w:val="0"/>
              <w:widowControl w:val="0"/>
              <w:kinsoku/>
              <w:wordWrap/>
              <w:overflowPunct/>
              <w:topLinePunct w:val="0"/>
              <w:autoSpaceDE/>
              <w:autoSpaceDN/>
              <w:bidi w:val="0"/>
              <w:spacing w:line="360" w:lineRule="auto"/>
              <w:ind w:firstLine="420" w:firstLineChars="200"/>
              <w:rPr>
                <w:rFonts w:hint="eastAsia"/>
                <w:szCs w:val="22"/>
                <w:highlight w:val="none"/>
                <w:lang w:eastAsia="zh-CN"/>
              </w:rPr>
            </w:pPr>
            <w:r>
              <w:rPr>
                <w:rFonts w:hint="eastAsia"/>
                <w:szCs w:val="22"/>
                <w:highlight w:val="none"/>
                <w:lang w:val="zh-CN"/>
              </w:rPr>
              <w:t>江西锐克斯科技有限公司成立于2000年5月，</w:t>
            </w:r>
            <w:r>
              <w:rPr>
                <w:rFonts w:hint="eastAsia"/>
                <w:szCs w:val="22"/>
                <w:highlight w:val="none"/>
              </w:rPr>
              <w:t>注册资金</w:t>
            </w:r>
            <w:r>
              <w:rPr>
                <w:rFonts w:hint="eastAsia"/>
                <w:szCs w:val="22"/>
                <w:highlight w:val="none"/>
                <w:lang w:val="en-US" w:eastAsia="zh-CN"/>
              </w:rPr>
              <w:t>600</w:t>
            </w:r>
            <w:r>
              <w:rPr>
                <w:rFonts w:hint="eastAsia"/>
                <w:szCs w:val="22"/>
                <w:highlight w:val="none"/>
              </w:rPr>
              <w:t>万元</w:t>
            </w:r>
            <w:r>
              <w:rPr>
                <w:rFonts w:hint="eastAsia"/>
                <w:szCs w:val="22"/>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szCs w:val="22"/>
                <w:highlight w:val="none"/>
                <w:lang w:val="en-US" w:eastAsia="zh-CN"/>
              </w:rPr>
            </w:pPr>
            <w:r>
              <w:rPr>
                <w:rFonts w:hint="eastAsia"/>
                <w:szCs w:val="22"/>
                <w:highlight w:val="none"/>
                <w:lang w:val="en-US" w:eastAsia="zh-CN"/>
              </w:rPr>
              <w:t>公司位于江西省樟树市阁山镇，厂区总面积23124平方米，生产车间建筑面积3036平方米，一层综合办公楼建筑面积1000平方米；</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highlight w:val="none"/>
              </w:rPr>
            </w:pPr>
            <w:r>
              <w:rPr>
                <w:rFonts w:hint="eastAsia"/>
                <w:szCs w:val="22"/>
                <w:highlight w:val="none"/>
                <w:lang w:val="en-US" w:eastAsia="zh-CN"/>
              </w:rPr>
              <w:t>现有</w:t>
            </w:r>
            <w:r>
              <w:rPr>
                <w:rFonts w:hint="eastAsia"/>
                <w:szCs w:val="22"/>
                <w:highlight w:val="none"/>
                <w:lang w:eastAsia="zh-CN"/>
              </w:rPr>
              <w:t>职工</w:t>
            </w:r>
            <w:r>
              <w:rPr>
                <w:rFonts w:hint="eastAsia"/>
                <w:szCs w:val="22"/>
                <w:highlight w:val="none"/>
                <w:lang w:val="en-US" w:eastAsia="zh-CN"/>
              </w:rPr>
              <w:t>15人，</w:t>
            </w:r>
            <w:r>
              <w:rPr>
                <w:rFonts w:hint="eastAsia"/>
                <w:highlight w:val="none"/>
              </w:rPr>
              <w:t>主要设备有小样机</w:t>
            </w:r>
            <w:r>
              <w:rPr>
                <w:rFonts w:hint="eastAsia"/>
                <w:highlight w:val="none"/>
                <w:lang w:eastAsia="zh-CN"/>
              </w:rPr>
              <w:t>、</w:t>
            </w:r>
            <w:r>
              <w:rPr>
                <w:rFonts w:hint="eastAsia"/>
                <w:highlight w:val="none"/>
              </w:rPr>
              <w:t>搅拌机</w:t>
            </w:r>
            <w:r>
              <w:rPr>
                <w:rFonts w:hint="eastAsia"/>
                <w:highlight w:val="none"/>
                <w:lang w:eastAsia="zh-CN"/>
              </w:rPr>
              <w:t>、</w:t>
            </w:r>
            <w:r>
              <w:rPr>
                <w:rFonts w:hint="eastAsia"/>
                <w:highlight w:val="none"/>
              </w:rPr>
              <w:t>双螺杆挤出机</w:t>
            </w:r>
            <w:r>
              <w:rPr>
                <w:rFonts w:hint="eastAsia"/>
                <w:highlight w:val="none"/>
                <w:lang w:eastAsia="zh-CN"/>
              </w:rPr>
              <w:t>、</w:t>
            </w:r>
            <w:r>
              <w:rPr>
                <w:rFonts w:hint="eastAsia"/>
                <w:highlight w:val="none"/>
              </w:rPr>
              <w:t>风冷覆带式压片破碎机</w:t>
            </w:r>
            <w:r>
              <w:rPr>
                <w:rFonts w:hint="eastAsia"/>
                <w:highlight w:val="none"/>
                <w:lang w:eastAsia="zh-CN"/>
              </w:rPr>
              <w:t>、</w:t>
            </w:r>
            <w:r>
              <w:rPr>
                <w:rFonts w:hint="eastAsia"/>
                <w:highlight w:val="none"/>
              </w:rPr>
              <w:t>立式磨粉机等；</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highlight w:val="none"/>
              </w:rPr>
            </w:pPr>
            <w:r>
              <w:rPr>
                <w:rFonts w:hint="eastAsia"/>
                <w:highlight w:val="none"/>
              </w:rPr>
              <w:t>主要检测设备包括：涂层测厚仪</w:t>
            </w:r>
            <w:r>
              <w:rPr>
                <w:rFonts w:hint="eastAsia"/>
                <w:highlight w:val="none"/>
                <w:lang w:eastAsia="zh-CN"/>
              </w:rPr>
              <w:t>、</w:t>
            </w:r>
            <w:r>
              <w:rPr>
                <w:rFonts w:hint="eastAsia"/>
                <w:highlight w:val="none"/>
              </w:rPr>
              <w:t>电子台称</w:t>
            </w:r>
            <w:r>
              <w:rPr>
                <w:rFonts w:hint="eastAsia"/>
                <w:highlight w:val="none"/>
                <w:lang w:eastAsia="zh-CN"/>
              </w:rPr>
              <w:t>、</w:t>
            </w:r>
            <w:r>
              <w:rPr>
                <w:rFonts w:hint="eastAsia"/>
                <w:highlight w:val="none"/>
              </w:rPr>
              <w:t>光泽仪等；</w:t>
            </w:r>
          </w:p>
          <w:p>
            <w:pPr>
              <w:pStyle w:val="2"/>
              <w:keepNext w:val="0"/>
              <w:keepLines w:val="0"/>
              <w:pageBreakBefore w:val="0"/>
              <w:widowControl w:val="0"/>
              <w:kinsoku/>
              <w:wordWrap/>
              <w:overflowPunct/>
              <w:topLinePunct w:val="0"/>
              <w:autoSpaceDE/>
              <w:autoSpaceDN/>
              <w:bidi w:val="0"/>
              <w:spacing w:after="0" w:afterLines="0" w:line="360" w:lineRule="auto"/>
              <w:rPr>
                <w:rFonts w:hint="eastAsia"/>
              </w:rPr>
            </w:pPr>
            <w:r>
              <w:rPr>
                <w:rFonts w:hint="eastAsia" w:ascii="宋体" w:hAnsi="宋体" w:cs="Arial"/>
                <w:color w:val="auto"/>
                <w:spacing w:val="-6"/>
                <w:sz w:val="21"/>
                <w:szCs w:val="21"/>
                <w:lang w:val="en-US" w:eastAsia="zh-CN"/>
              </w:rPr>
              <w:t>安全环保设施包括有灭火器、</w:t>
            </w:r>
            <w:r>
              <w:rPr>
                <w:rFonts w:hint="eastAsia" w:ascii="宋体" w:hAnsi="宋体" w:cs="Arial"/>
                <w:color w:val="auto"/>
                <w:spacing w:val="-6"/>
                <w:sz w:val="21"/>
                <w:szCs w:val="21"/>
                <w:highlight w:val="none"/>
                <w:lang w:val="en-US" w:eastAsia="zh-CN"/>
              </w:rPr>
              <w:t>布袋除尘装置、个体防</w:t>
            </w:r>
            <w:r>
              <w:rPr>
                <w:rFonts w:hint="eastAsia" w:ascii="宋体" w:hAnsi="宋体" w:cs="Arial"/>
                <w:color w:val="auto"/>
                <w:spacing w:val="-6"/>
                <w:sz w:val="21"/>
                <w:szCs w:val="21"/>
                <w:lang w:val="en-US" w:eastAsia="zh-CN"/>
              </w:rPr>
              <w:t>护用品、垃圾桶等；</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szCs w:val="22"/>
                <w:highlight w:val="none"/>
                <w:lang w:eastAsia="zh-CN"/>
              </w:rPr>
            </w:pPr>
            <w:r>
              <w:rPr>
                <w:rFonts w:hint="eastAsia"/>
                <w:szCs w:val="22"/>
                <w:highlight w:val="none"/>
                <w:lang w:val="en-US" w:eastAsia="zh-CN"/>
              </w:rPr>
              <w:t>生产的静电粉末主要</w:t>
            </w:r>
            <w:r>
              <w:rPr>
                <w:rFonts w:hint="eastAsia"/>
                <w:szCs w:val="22"/>
                <w:highlight w:val="none"/>
              </w:rPr>
              <w:t>有</w:t>
            </w:r>
            <w:r>
              <w:rPr>
                <w:rFonts w:hint="eastAsia"/>
                <w:szCs w:val="22"/>
                <w:highlight w:val="none"/>
                <w:lang w:eastAsia="zh-CN"/>
              </w:rPr>
              <w:t>高光粉末、亚光粉末、</w:t>
            </w:r>
            <w:r>
              <w:rPr>
                <w:rFonts w:hint="eastAsia"/>
                <w:szCs w:val="22"/>
                <w:highlight w:val="none"/>
                <w:lang w:val="en-US" w:eastAsia="zh-CN"/>
              </w:rPr>
              <w:t>TGIC粉末、美术型粉末四</w:t>
            </w:r>
            <w:r>
              <w:rPr>
                <w:rFonts w:hint="eastAsia"/>
                <w:szCs w:val="22"/>
                <w:highlight w:val="none"/>
              </w:rPr>
              <w:t>大系列</w:t>
            </w:r>
            <w:r>
              <w:rPr>
                <w:rFonts w:hint="eastAsia"/>
                <w:szCs w:val="22"/>
                <w:highlight w:val="none"/>
                <w:lang w:val="en-US" w:eastAsia="zh-CN"/>
              </w:rPr>
              <w:t>30</w:t>
            </w:r>
            <w:r>
              <w:rPr>
                <w:rFonts w:hint="eastAsia"/>
                <w:szCs w:val="22"/>
                <w:highlight w:val="none"/>
              </w:rPr>
              <w:t>0多个品种，</w:t>
            </w:r>
            <w:r>
              <w:rPr>
                <w:rFonts w:hint="eastAsia"/>
                <w:szCs w:val="22"/>
                <w:highlight w:val="none"/>
                <w:lang w:val="zh-CN"/>
              </w:rPr>
              <w:t>产品通过了国家涂料质量监督检验中心检测</w:t>
            </w:r>
            <w:r>
              <w:rPr>
                <w:rFonts w:hint="eastAsia"/>
                <w:szCs w:val="22"/>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highlight w:val="none"/>
              </w:rPr>
            </w:pPr>
            <w:r>
              <w:rPr>
                <w:rFonts w:hint="eastAsia"/>
                <w:highlight w:val="none"/>
              </w:rPr>
              <w:t>公司设置有办公室</w:t>
            </w:r>
            <w:r>
              <w:rPr>
                <w:rFonts w:hint="eastAsia"/>
                <w:highlight w:val="none"/>
                <w:lang w:eastAsia="zh-CN"/>
              </w:rPr>
              <w:t>、</w:t>
            </w:r>
            <w:r>
              <w:rPr>
                <w:rFonts w:hint="eastAsia"/>
                <w:highlight w:val="none"/>
              </w:rPr>
              <w:t>生产部</w:t>
            </w:r>
            <w:r>
              <w:rPr>
                <w:rFonts w:hint="eastAsia"/>
                <w:highlight w:val="none"/>
                <w:lang w:eastAsia="zh-CN"/>
              </w:rPr>
              <w:t>、</w:t>
            </w:r>
            <w:r>
              <w:rPr>
                <w:rFonts w:hint="eastAsia"/>
                <w:highlight w:val="none"/>
              </w:rPr>
              <w:t>供销部。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cs="Arial"/>
                <w:color w:val="auto"/>
                <w:spacing w:val="-6"/>
                <w:sz w:val="21"/>
                <w:szCs w:val="21"/>
                <w:highlight w:val="none"/>
                <w:lang w:val="en-US" w:eastAsia="zh-CN"/>
              </w:rPr>
              <w:t>公司</w:t>
            </w:r>
            <w:r>
              <w:rPr>
                <w:rFonts w:hint="eastAsia" w:ascii="宋体" w:hAnsi="宋体" w:eastAsia="宋体" w:cs="Arial"/>
                <w:color w:val="auto"/>
                <w:spacing w:val="-6"/>
                <w:sz w:val="21"/>
                <w:szCs w:val="21"/>
                <w:highlight w:val="none"/>
              </w:rPr>
              <w:t>定期汇总分析市场情况，包括行业发展情况，相关企业产品分析，竞品分析，</w:t>
            </w:r>
            <w:r>
              <w:rPr>
                <w:rFonts w:hint="eastAsia" w:ascii="宋体" w:hAnsi="宋体" w:cs="Arial"/>
                <w:color w:val="auto"/>
                <w:spacing w:val="-6"/>
                <w:sz w:val="21"/>
                <w:szCs w:val="21"/>
                <w:highlight w:val="none"/>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highlight w:val="none"/>
                <w:lang w:eastAsia="zh-CN"/>
              </w:rPr>
              <w:t>，</w:t>
            </w:r>
            <w:r>
              <w:rPr>
                <w:rFonts w:hint="eastAsia" w:ascii="宋体" w:hAnsi="宋体" w:cs="Arial"/>
                <w:color w:val="auto"/>
                <w:spacing w:val="-6"/>
                <w:sz w:val="21"/>
                <w:szCs w:val="21"/>
                <w:highlight w:val="none"/>
              </w:rPr>
              <w:t>如</w:t>
            </w:r>
            <w:r>
              <w:rPr>
                <w:rFonts w:hint="eastAsia" w:ascii="宋体" w:hAnsi="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外部因素——国际经济政治形势、材料价格变动、竞争对手、客户需求的变化、新技术的采用等；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rPr>
            </w:pPr>
            <w:r>
              <w:rPr>
                <w:rFonts w:hint="eastAsia" w:ascii="宋体" w:hAnsi="宋体" w:eastAsia="宋体" w:cs="Arial"/>
                <w:color w:val="auto"/>
                <w:spacing w:val="-6"/>
                <w:sz w:val="21"/>
                <w:szCs w:val="21"/>
                <w:highlight w:val="none"/>
              </w:rPr>
              <w:t>这些因素包括了需要考虑的正面和负面因素或条件。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highlight w:val="none"/>
                <w:lang w:val="en-US" w:eastAsia="zh-CN" w:bidi="ar-SA"/>
              </w:rPr>
            </w:pPr>
            <w:r>
              <w:rPr>
                <w:rFonts w:hint="eastAsia" w:ascii="宋体" w:hAnsi="宋体" w:eastAsia="宋体" w:cs="Arial"/>
                <w:color w:val="auto"/>
                <w:spacing w:val="-6"/>
                <w:sz w:val="21"/>
                <w:szCs w:val="21"/>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96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spacing w:line="360" w:lineRule="auto"/>
              <w:ind w:firstLine="420" w:firstLineChars="200"/>
              <w:rPr>
                <w:rFonts w:hint="eastAsia"/>
                <w:color w:val="auto"/>
                <w:lang w:val="en-US" w:eastAsia="zh-CN"/>
              </w:rPr>
            </w:pPr>
            <w:r>
              <w:rPr>
                <w:rFonts w:hint="eastAsia"/>
                <w:color w:val="auto"/>
                <w:lang w:val="en-US" w:eastAsia="zh-CN"/>
              </w:rPr>
              <w:t>保留“</w:t>
            </w:r>
            <w:r>
              <w:rPr>
                <w:rFonts w:hint="eastAsia"/>
                <w:color w:val="auto"/>
              </w:rPr>
              <w:t>相关方期望或要求识别表</w:t>
            </w:r>
            <w:r>
              <w:rPr>
                <w:rFonts w:hint="eastAsia"/>
                <w:color w:val="auto"/>
                <w:lang w:eastAsia="zh-CN"/>
              </w:rPr>
              <w:t>”，</w:t>
            </w:r>
            <w:r>
              <w:rPr>
                <w:rFonts w:hint="eastAsia"/>
                <w:color w:val="auto"/>
                <w:lang w:val="en-US" w:eastAsia="zh-CN"/>
              </w:rPr>
              <w:t>公司内外部相关方包括：</w:t>
            </w:r>
            <w:r>
              <w:rPr>
                <w:rFonts w:hint="eastAsia"/>
                <w:color w:val="auto"/>
              </w:rPr>
              <w:t>顾客/最终消费者</w:t>
            </w:r>
            <w:r>
              <w:rPr>
                <w:rFonts w:hint="eastAsia"/>
                <w:color w:val="auto"/>
                <w:lang w:eastAsia="zh-CN"/>
              </w:rPr>
              <w:t>、</w:t>
            </w:r>
            <w:r>
              <w:rPr>
                <w:rFonts w:hint="eastAsia"/>
                <w:color w:val="auto"/>
              </w:rPr>
              <w:t>员工</w:t>
            </w:r>
            <w:r>
              <w:rPr>
                <w:rFonts w:hint="eastAsia"/>
                <w:color w:val="auto"/>
                <w:lang w:eastAsia="zh-CN"/>
              </w:rPr>
              <w:t>、</w:t>
            </w:r>
            <w:r>
              <w:rPr>
                <w:rFonts w:hint="eastAsia"/>
                <w:color w:val="auto"/>
              </w:rPr>
              <w:t>政府</w:t>
            </w:r>
            <w:r>
              <w:rPr>
                <w:rFonts w:hint="eastAsia"/>
                <w:color w:val="auto"/>
                <w:lang w:eastAsia="zh-CN"/>
              </w:rPr>
              <w:t>、</w:t>
            </w:r>
            <w:r>
              <w:rPr>
                <w:rFonts w:hint="eastAsia"/>
                <w:color w:val="auto"/>
              </w:rPr>
              <w:t>外部供方</w:t>
            </w:r>
            <w:r>
              <w:rPr>
                <w:rFonts w:hint="eastAsia"/>
                <w:color w:val="auto"/>
                <w:lang w:eastAsia="zh-CN"/>
              </w:rPr>
              <w:t>、</w:t>
            </w:r>
            <w:r>
              <w:rPr>
                <w:rFonts w:hint="eastAsia"/>
                <w:color w:val="auto"/>
              </w:rPr>
              <w:t>竞争对手</w:t>
            </w:r>
            <w:r>
              <w:rPr>
                <w:rFonts w:hint="eastAsia"/>
                <w:color w:val="auto"/>
                <w:lang w:eastAsia="zh-CN"/>
              </w:rPr>
              <w:t>、</w:t>
            </w:r>
            <w:r>
              <w:rPr>
                <w:rFonts w:hint="eastAsia"/>
                <w:color w:val="auto"/>
              </w:rPr>
              <w:t>社会相邻单位</w:t>
            </w:r>
            <w:r>
              <w:rPr>
                <w:rFonts w:hint="eastAsia"/>
                <w:color w:val="auto"/>
                <w:lang w:val="en-US" w:eastAsia="zh-CN"/>
              </w:rPr>
              <w:t>等；</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color w:val="auto"/>
                <w:lang w:val="en-US" w:eastAsia="zh-CN"/>
              </w:rPr>
            </w:pPr>
            <w:r>
              <w:rPr>
                <w:rFonts w:hint="eastAsia"/>
                <w:color w:val="auto"/>
                <w:lang w:val="en-US" w:eastAsia="zh-CN"/>
              </w:rPr>
              <w:t>清单中明确了相关方要求与期望、监测指标或项目、监测频率、监测部门等。</w:t>
            </w:r>
          </w:p>
          <w:p>
            <w:pPr>
              <w:keepNext w:val="0"/>
              <w:keepLines w:val="0"/>
              <w:pageBreakBefore w:val="0"/>
              <w:widowControl w:val="0"/>
              <w:kinsoku/>
              <w:wordWrap/>
              <w:overflowPunct/>
              <w:topLinePunct w:val="0"/>
              <w:autoSpaceDE/>
              <w:autoSpaceDN/>
              <w:bidi w:val="0"/>
              <w:spacing w:line="360" w:lineRule="auto"/>
              <w:ind w:firstLine="420" w:firstLineChars="200"/>
              <w:rPr>
                <w:rFonts w:hint="default" w:ascii="Times New Roman" w:hAnsi="Times New Roman" w:eastAsia="宋体" w:cs="Times New Roman"/>
                <w:kern w:val="2"/>
                <w:sz w:val="21"/>
                <w:lang w:val="en-US" w:eastAsia="zh-CN" w:bidi="ar-SA"/>
              </w:rPr>
            </w:pPr>
            <w:r>
              <w:rPr>
                <w:rFonts w:hint="eastAsia"/>
                <w:color w:val="auto"/>
                <w:lang w:val="en-US" w:eastAsia="zh-CN"/>
              </w:rPr>
              <w:t>基本符合。</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职业健康安全</w:t>
            </w:r>
            <w:r>
              <w:rPr>
                <w:rFonts w:hint="eastAsia" w:ascii="宋体" w:hAnsi="宋体" w:eastAsia="宋体" w:cs="Arial"/>
                <w:spacing w:val="-6"/>
                <w:sz w:val="21"/>
                <w:szCs w:val="21"/>
              </w:rPr>
              <w:t>管理体系及其过程</w:t>
            </w:r>
          </w:p>
        </w:tc>
        <w:tc>
          <w:tcPr>
            <w:tcW w:w="960"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4.4</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公司基于对4.1和4.2的考虑，分析了存在的风险和机遇：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存在的机遇：国家整体经济的发展要求</w:t>
            </w:r>
            <w:r>
              <w:rPr>
                <w:rFonts w:hint="eastAsia" w:ascii="宋体" w:hAnsi="宋体" w:cs="Arial"/>
                <w:color w:val="auto"/>
                <w:spacing w:val="-6"/>
                <w:sz w:val="21"/>
                <w:szCs w:val="21"/>
                <w:lang w:val="en-US" w:eastAsia="zh-CN"/>
              </w:rPr>
              <w:t>和环保政策</w:t>
            </w:r>
            <w:r>
              <w:rPr>
                <w:rFonts w:hint="eastAsia" w:ascii="宋体" w:hAnsi="宋体" w:eastAsia="宋体" w:cs="Arial"/>
                <w:color w:val="auto"/>
                <w:spacing w:val="-6"/>
                <w:sz w:val="21"/>
                <w:szCs w:val="21"/>
                <w:lang w:val="en-US" w:eastAsia="zh-CN"/>
              </w:rPr>
              <w:t>对整个行业的发展总体是利好；公司在行业内从业十几年，有着良好的口碑；给公司的发展带来了机遇</w:t>
            </w:r>
            <w:r>
              <w:rPr>
                <w:rFonts w:hint="eastAsia" w:ascii="宋体" w:hAnsi="宋体" w:eastAsia="宋体" w:cs="Arial"/>
                <w:color w:val="auto"/>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存在的风险：主要来自竞争对手的竞争，行业入门容易、技术含量低，原材料价格波动影响成本</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编制有《风险和机遇的应对控制程序》，对组织内外的风险和机遇进行了策划。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不可接受风险有：机械伤害、触电伤害、潜在火灾、吸入性伤害</w:t>
            </w:r>
            <w:r>
              <w:rPr>
                <w:rFonts w:hint="eastAsia" w:ascii="宋体" w:hAnsi="宋体" w:cs="Arial"/>
                <w:color w:val="auto"/>
                <w:spacing w:val="-6"/>
                <w:sz w:val="21"/>
                <w:szCs w:val="21"/>
                <w:lang w:eastAsia="zh-CN"/>
              </w:rPr>
              <w:t>、粉尘</w:t>
            </w:r>
            <w:r>
              <w:rPr>
                <w:rFonts w:hint="eastAsia" w:ascii="宋体" w:hAnsi="宋体" w:eastAsia="宋体" w:cs="Arial"/>
                <w:color w:val="auto"/>
                <w:spacing w:val="-6"/>
                <w:sz w:val="21"/>
                <w:szCs w:val="21"/>
              </w:rPr>
              <w:t>爆炸</w:t>
            </w:r>
            <w:r>
              <w:rPr>
                <w:rFonts w:hint="eastAsia" w:ascii="宋体" w:hAnsi="宋体" w:eastAsia="宋体" w:cs="Arial"/>
                <w:color w:val="auto"/>
                <w:spacing w:val="-6"/>
                <w:sz w:val="21"/>
                <w:szCs w:val="21"/>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控制措施：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通用控制措施——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制定目标、指标，编制运行控制文件，运行控制；设置警示标志标识；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定期监测职业危害因素并公示；一旦发生按相关应急预案执行。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火灾，触电——</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设备、电路定期检修、检查，人员持证上岗；配置消防器材、做好火灾预防措施；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粉尘/废气伤害、粉尘爆炸——</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配置环保设施（吸/除尘、废气吸附），配置个人防护用品并监督使用；加强通风、降低粉尘浓度；</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噪声伤害——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选用低噪声设备，合理布局，隔声减震，厂房隔音；加强厂区绿化吸收噪音；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机械伤害——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设备设施安全防护、加强安全教育，按章作业，加强工艺纪律检查，穿戴个人防护用品。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为应对</w:t>
            </w:r>
            <w:r>
              <w:rPr>
                <w:rFonts w:hint="eastAsia" w:ascii="宋体" w:hAnsi="宋体" w:eastAsia="宋体" w:cs="Arial"/>
                <w:color w:val="auto"/>
                <w:spacing w:val="-6"/>
                <w:sz w:val="21"/>
                <w:szCs w:val="21"/>
                <w:lang w:val="en-US" w:eastAsia="zh-CN"/>
              </w:rPr>
              <w:t>上述</w:t>
            </w:r>
            <w:r>
              <w:rPr>
                <w:rFonts w:hint="eastAsia" w:ascii="宋体" w:hAnsi="宋体" w:eastAsia="宋体" w:cs="Arial"/>
                <w:color w:val="auto"/>
                <w:spacing w:val="-6"/>
                <w:sz w:val="21"/>
                <w:szCs w:val="21"/>
              </w:rPr>
              <w:t>的风险和机遇，公司依据ISO45001：2018标准的要求并结合本公司的具体情况，采取PDCA的过程方法，建立、实施、保持并持续改进质量、环境、职业健康安全管理体系。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保持</w:t>
            </w:r>
            <w:r>
              <w:rPr>
                <w:rFonts w:hint="eastAsia" w:ascii="宋体" w:hAnsi="宋体" w:eastAsia="宋体" w:cs="Arial"/>
                <w:color w:val="auto"/>
                <w:spacing w:val="-6"/>
                <w:sz w:val="21"/>
                <w:szCs w:val="21"/>
              </w:rPr>
              <w:t>《管理手册》A/</w:t>
            </w:r>
            <w:r>
              <w:rPr>
                <w:rFonts w:hint="eastAsia" w:ascii="宋体" w:hAnsi="宋体" w:eastAsia="宋体" w:cs="Arial"/>
                <w:color w:val="auto"/>
                <w:spacing w:val="-6"/>
                <w:sz w:val="21"/>
                <w:szCs w:val="21"/>
                <w:lang w:val="en-US" w:eastAsia="zh-CN"/>
              </w:rPr>
              <w:t>0</w:t>
            </w:r>
            <w:r>
              <w:rPr>
                <w:rFonts w:hint="eastAsia" w:ascii="宋体" w:hAnsi="宋体" w:eastAsia="宋体" w:cs="Arial"/>
                <w:color w:val="auto"/>
                <w:spacing w:val="-6"/>
                <w:sz w:val="21"/>
                <w:szCs w:val="21"/>
              </w:rPr>
              <w:t xml:space="preserve">    实施日期：2020年11月10日</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保持</w:t>
            </w:r>
            <w:r>
              <w:rPr>
                <w:rFonts w:hint="eastAsia" w:ascii="宋体" w:hAnsi="宋体" w:eastAsia="宋体" w:cs="Arial"/>
                <w:color w:val="auto"/>
                <w:spacing w:val="-6"/>
                <w:sz w:val="21"/>
                <w:szCs w:val="21"/>
              </w:rPr>
              <w:t>程序文件2</w:t>
            </w:r>
            <w:r>
              <w:rPr>
                <w:rFonts w:hint="eastAsia" w:ascii="宋体" w:hAnsi="宋体" w:eastAsia="宋体" w:cs="Arial"/>
                <w:color w:val="auto"/>
                <w:spacing w:val="-6"/>
                <w:sz w:val="21"/>
                <w:szCs w:val="21"/>
                <w:lang w:val="en-US" w:eastAsia="zh-CN"/>
              </w:rPr>
              <w:t>6</w:t>
            </w:r>
            <w:r>
              <w:rPr>
                <w:rFonts w:hint="eastAsia" w:ascii="宋体" w:hAnsi="宋体" w:eastAsia="宋体" w:cs="Arial"/>
                <w:color w:val="auto"/>
                <w:spacing w:val="-6"/>
                <w:sz w:val="21"/>
                <w:szCs w:val="21"/>
              </w:rPr>
              <w:t>个，版本号：A/</w:t>
            </w:r>
            <w:r>
              <w:rPr>
                <w:rFonts w:hint="eastAsia" w:ascii="宋体" w:hAnsi="宋体" w:eastAsia="宋体" w:cs="Arial"/>
                <w:color w:val="auto"/>
                <w:spacing w:val="-6"/>
                <w:sz w:val="21"/>
                <w:szCs w:val="21"/>
                <w:lang w:val="en-US" w:eastAsia="zh-CN"/>
              </w:rPr>
              <w:t>0</w:t>
            </w:r>
            <w:r>
              <w:rPr>
                <w:rFonts w:hint="eastAsia" w:ascii="宋体" w:hAnsi="宋体" w:eastAsia="宋体" w:cs="Arial"/>
                <w:color w:val="auto"/>
                <w:spacing w:val="-6"/>
                <w:sz w:val="21"/>
                <w:szCs w:val="21"/>
              </w:rPr>
              <w:t>；废弃物控制程序</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噪声控制程序</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消防控制程序</w:t>
            </w:r>
            <w:r>
              <w:rPr>
                <w:rFonts w:hint="eastAsia" w:ascii="宋体" w:hAnsi="宋体" w:eastAsia="宋体" w:cs="Arial"/>
                <w:color w:val="auto"/>
                <w:spacing w:val="-6"/>
                <w:sz w:val="21"/>
                <w:szCs w:val="21"/>
                <w:lang w:eastAsia="zh-CN"/>
              </w:rPr>
              <w:t>、顾客满意度控制程序、采购控制程序、销售和服务管理控制程序</w:t>
            </w:r>
            <w:r>
              <w:rPr>
                <w:rFonts w:hint="eastAsia" w:ascii="宋体" w:hAnsi="宋体" w:eastAsia="宋体" w:cs="Arial"/>
                <w:color w:val="auto"/>
                <w:spacing w:val="-6"/>
                <w:sz w:val="21"/>
                <w:szCs w:val="21"/>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生产工艺文件、质量检验管理规定、安全生产检查及隐患治理规定、生产现场管理规定、环境保护管理规定、操作规程等；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建立有外来文件清单，收集相关法律法规中华人民共和国安全生产法等；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本公司识别并确定了如下分工及过程：采购过程、</w:t>
            </w:r>
            <w:r>
              <w:rPr>
                <w:rFonts w:hint="eastAsia" w:ascii="宋体" w:hAnsi="宋体" w:eastAsia="宋体" w:cs="Arial"/>
                <w:color w:val="auto"/>
                <w:spacing w:val="-6"/>
                <w:sz w:val="21"/>
                <w:szCs w:val="21"/>
                <w:lang w:val="en-US" w:eastAsia="zh-CN"/>
              </w:rPr>
              <w:t>生产过程、</w:t>
            </w:r>
            <w:r>
              <w:rPr>
                <w:rFonts w:hint="eastAsia" w:ascii="宋体" w:hAnsi="宋体" w:eastAsia="宋体" w:cs="Arial"/>
                <w:color w:val="auto"/>
                <w:spacing w:val="-6"/>
                <w:sz w:val="21"/>
                <w:szCs w:val="21"/>
              </w:rPr>
              <w:t>销售过程、检验与交付过程、绩效分析、评价与改进等多个过程。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业务</w:t>
            </w:r>
            <w:r>
              <w:rPr>
                <w:rFonts w:hint="eastAsia" w:ascii="宋体" w:hAnsi="宋体" w:eastAsia="宋体" w:cs="Arial"/>
                <w:color w:val="auto"/>
                <w:spacing w:val="-6"/>
                <w:sz w:val="21"/>
                <w:szCs w:val="21"/>
              </w:rPr>
              <w:t>流程如下：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原材料采购——进货检验——配料——预混合——调色——挤出——粉碎——检验——包装——入库</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管理手册中</w:t>
            </w:r>
            <w:r>
              <w:rPr>
                <w:rFonts w:hint="eastAsia" w:ascii="宋体" w:hAnsi="宋体" w:eastAsia="宋体" w:cs="Arial"/>
                <w:color w:val="auto"/>
                <w:spacing w:val="-6"/>
                <w:sz w:val="21"/>
                <w:szCs w:val="21"/>
                <w:lang w:val="en-US" w:eastAsia="zh-CN"/>
              </w:rPr>
              <w:t>确定</w:t>
            </w:r>
            <w:r>
              <w:rPr>
                <w:rFonts w:hint="eastAsia" w:ascii="宋体" w:hAnsi="宋体" w:eastAsia="宋体" w:cs="Arial"/>
                <w:color w:val="auto"/>
                <w:spacing w:val="-6"/>
                <w:sz w:val="21"/>
                <w:szCs w:val="21"/>
              </w:rPr>
              <w:t>的认证范围：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O：静电粉末的生产及其所涉及的相关职业健康安全管理活动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管理体系</w:t>
            </w:r>
            <w:r>
              <w:rPr>
                <w:rFonts w:hint="eastAsia" w:ascii="宋体" w:hAnsi="宋体" w:eastAsia="宋体" w:cs="Arial"/>
                <w:color w:val="auto"/>
                <w:spacing w:val="-6"/>
                <w:sz w:val="21"/>
                <w:szCs w:val="21"/>
                <w:lang w:val="en-US" w:eastAsia="zh-CN"/>
              </w:rPr>
              <w:t>建立以来无变更</w:t>
            </w:r>
            <w:r>
              <w:rPr>
                <w:rFonts w:hint="eastAsia" w:ascii="宋体" w:hAnsi="宋体" w:eastAsia="宋体" w:cs="Arial"/>
                <w:color w:val="auto"/>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基本合理。</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职业健康安全目标及其实现的策划</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6.2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1.质量环境职业健康安全方针：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方针适宜于公司现状，在管理手册中明确，通过文件发放，使员工获知，适用时提供给相关方。</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并以方针为框架，建立了公司管理目标：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2.环保安全目标：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固废分类处置率100%；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噪声\粉尘达标排放；</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职业病发生率为0；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火灾事故为0；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rPr>
              <w:t>触电机械伤害事故为0</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保留有</w:t>
            </w:r>
            <w:r>
              <w:rPr>
                <w:rFonts w:hint="default" w:ascii="宋体" w:hAnsi="宋体" w:eastAsia="宋体" w:cs="Arial"/>
                <w:color w:val="auto"/>
                <w:spacing w:val="-6"/>
                <w:sz w:val="21"/>
                <w:szCs w:val="21"/>
                <w:lang w:val="en-US" w:eastAsia="zh-CN"/>
              </w:rPr>
              <w:t>公司的环境和安全管理方案和控制措施。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通过“</w:t>
            </w:r>
            <w:r>
              <w:rPr>
                <w:rFonts w:hint="default" w:ascii="宋体" w:hAnsi="宋体" w:eastAsia="宋体" w:cs="Arial"/>
                <w:color w:val="auto"/>
                <w:spacing w:val="-6"/>
                <w:sz w:val="21"/>
                <w:szCs w:val="21"/>
                <w:lang w:val="en-US" w:eastAsia="zh-CN"/>
              </w:rPr>
              <w:t>质量\环境\职业健康安全目标分解考核表</w:t>
            </w:r>
            <w:r>
              <w:rPr>
                <w:rFonts w:hint="eastAsia" w:ascii="宋体" w:hAnsi="宋体" w:eastAsia="宋体" w:cs="Arial"/>
                <w:color w:val="auto"/>
                <w:spacing w:val="-6"/>
                <w:sz w:val="21"/>
                <w:szCs w:val="21"/>
                <w:lang w:val="en-US" w:eastAsia="zh-CN"/>
              </w:rPr>
              <w:t>”，对目标进行分解到各部门，并进行考核；</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w:t>
            </w:r>
            <w:r>
              <w:rPr>
                <w:rFonts w:hint="default" w:ascii="宋体" w:hAnsi="宋体" w:eastAsia="宋体" w:cs="Arial"/>
                <w:color w:val="auto"/>
                <w:spacing w:val="-6"/>
                <w:sz w:val="21"/>
                <w:szCs w:val="21"/>
                <w:lang w:val="en-US" w:eastAsia="zh-CN"/>
              </w:rPr>
              <w:t>质量\环境\职业健康安全目标分解考核表</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对管理目标</w:t>
            </w:r>
            <w:r>
              <w:rPr>
                <w:rFonts w:hint="eastAsia" w:ascii="宋体" w:hAnsi="宋体" w:eastAsia="宋体" w:cs="Arial"/>
                <w:color w:val="auto"/>
                <w:spacing w:val="-6"/>
                <w:sz w:val="21"/>
                <w:szCs w:val="21"/>
                <w:lang w:val="en-US" w:eastAsia="zh-CN"/>
              </w:rPr>
              <w:t>按照部门</w:t>
            </w:r>
            <w:r>
              <w:rPr>
                <w:rFonts w:hint="default" w:ascii="宋体" w:hAnsi="宋体" w:eastAsia="宋体" w:cs="Arial"/>
                <w:color w:val="auto"/>
                <w:spacing w:val="-6"/>
                <w:sz w:val="21"/>
                <w:szCs w:val="21"/>
                <w:lang w:val="en-US" w:eastAsia="zh-CN"/>
              </w:rPr>
              <w:t>进行了分解</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202</w:t>
            </w:r>
            <w:r>
              <w:rPr>
                <w:rFonts w:hint="eastAsia" w:ascii="宋体" w:hAnsi="宋体" w:eastAsia="宋体" w:cs="Arial"/>
                <w:color w:val="auto"/>
                <w:spacing w:val="-6"/>
                <w:sz w:val="21"/>
                <w:szCs w:val="21"/>
                <w:lang w:val="en-US" w:eastAsia="zh-CN"/>
              </w:rPr>
              <w:t>2</w:t>
            </w:r>
            <w:r>
              <w:rPr>
                <w:rFonts w:hint="default" w:ascii="宋体" w:hAnsi="宋体" w:eastAsia="宋体" w:cs="Arial"/>
                <w:color w:val="auto"/>
                <w:spacing w:val="-6"/>
                <w:sz w:val="21"/>
                <w:szCs w:val="21"/>
                <w:lang w:val="en-US" w:eastAsia="zh-CN"/>
              </w:rPr>
              <w:t>年</w:t>
            </w:r>
            <w:r>
              <w:rPr>
                <w:rFonts w:hint="eastAsia" w:ascii="宋体" w:hAnsi="宋体" w:eastAsia="宋体" w:cs="Arial"/>
                <w:color w:val="auto"/>
                <w:spacing w:val="-6"/>
                <w:sz w:val="21"/>
                <w:szCs w:val="21"/>
                <w:lang w:val="en-US" w:eastAsia="zh-CN"/>
              </w:rPr>
              <w:t>一季度</w:t>
            </w:r>
            <w:r>
              <w:rPr>
                <w:rFonts w:hint="default" w:ascii="宋体" w:hAnsi="宋体" w:eastAsia="宋体" w:cs="Arial"/>
                <w:color w:val="auto"/>
                <w:spacing w:val="-6"/>
                <w:sz w:val="21"/>
                <w:szCs w:val="21"/>
                <w:lang w:val="en-US" w:eastAsia="zh-CN"/>
              </w:rPr>
              <w:t>考核，显示目标均已全部完成。</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0" w:type="auto"/>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最高管理者在管理手册中明确了各部门和各岗位的职责和权限，以确保管理体系符合各项标准的要求，并确保各个过程获得其预期输出。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经授权的分管领导向最高管理者报告职业健康安全管理体系的绩效及改进机会，确保整个组织保持职业健康安全管理绩效，确保在策划和实施管理体系变更时保持其完整性。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公司设置有办公室、生产部、供销部。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经查每个部门均有部门职责和权限，各岗位的职责和权限、任职要求在《管理手册》中得到规定。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经查问组织内的职责和权限基本得到沟通，通过文件发布、传达、会议、培训等了解有关职责和权限。同总经理交谈，对于自身职责权限比较清楚。</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江西锐克斯科技有限公司成立于2000年5月，注册资金600万元，厂区总面积23124平方米，生产车间建筑面积3036平方米，一层综合办公楼建筑面积1000平方米，现有职工20余人。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主要设备有小样机、搅拌机、双螺杆挤出机、风冷覆带式压片破碎机、立式磨粉机等；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主要检测设备包括：涂层测厚仪、电子台称、光泽仪等；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安全环保设施包括有灭火器、除尘装置、循环水冷却塔、个体防护用品、垃圾桶等；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确认公司目前人力资源、基础设施、销售人员、财力、信息等资源均能保证。公司</w:t>
            </w:r>
            <w:r>
              <w:rPr>
                <w:rFonts w:hint="eastAsia" w:ascii="宋体" w:hAnsi="宋体" w:eastAsia="宋体" w:cs="Arial"/>
                <w:color w:val="auto"/>
                <w:spacing w:val="-6"/>
                <w:sz w:val="21"/>
                <w:szCs w:val="21"/>
                <w:lang w:val="en-US" w:eastAsia="zh-CN"/>
              </w:rPr>
              <w:t>办公区域等</w:t>
            </w:r>
            <w:r>
              <w:rPr>
                <w:rFonts w:hint="default" w:ascii="宋体" w:hAnsi="宋体" w:eastAsia="宋体" w:cs="Arial"/>
                <w:color w:val="auto"/>
                <w:spacing w:val="-6"/>
                <w:sz w:val="21"/>
                <w:szCs w:val="21"/>
                <w:lang w:val="en-US" w:eastAsia="zh-CN"/>
              </w:rPr>
              <w:t>现场配备了灭火器等消防安全设备，能保证企业正常办公。</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公司财务能保证质量、环境、职业健康安全工作的开展，确保相关资金及时投入。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基本能满足体系运行的要求。</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组织在各部门之间建立了与体系有关的信息通渠沟道，借助于会议、电话、微信、网络、口头交流等方式使全体员工达到沟通和理解。目前各部门协调一致，工作上的接口基本理顺。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总经理定期主持经营办公例会，分析公司的发展、市场情况和体系运行是否有效，管理目标完成情况，满足顾客要求和法规程度，改进建议等内部管理存在问题等。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总经理为协商、参与提供了时间、机会、培训、资源等保障，明确了沟通、协商、参与渠道，消除了障碍和壁垒。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经交流：目前与环保、劳动、消防、安监部门的外部信息交流主要是参加会议、接收来文、电话、邮件等，均按要求予以传达和落实，沟通情况较好。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公司经选举确定职业健康安全事务代表</w:t>
            </w:r>
            <w:r>
              <w:rPr>
                <w:rFonts w:hint="eastAsia" w:ascii="宋体" w:hAnsi="宋体" w:eastAsia="宋体" w:cs="Arial"/>
                <w:color w:val="auto"/>
                <w:spacing w:val="-6"/>
                <w:sz w:val="21"/>
                <w:szCs w:val="21"/>
                <w:u w:val="single"/>
                <w:lang w:val="en-US" w:eastAsia="zh-CN"/>
              </w:rPr>
              <w:t>刘增锦</w:t>
            </w:r>
            <w:r>
              <w:rPr>
                <w:rFonts w:hint="eastAsia" w:ascii="宋体" w:hAnsi="宋体" w:eastAsia="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a）负责员工职业健康安全日常工作；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b）负责召开讨论有关工资、福利、劳动安全卫生、社会保险等涉及职工切身利益的会议，代表员工反映员工的建议和意见；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c）接收、处理外部职业健康安全信息；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d）交流各级职能部门间产生的职业健康安全信息；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e）收集、处理和反馈员工所关心的职业健康安全问题；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g）参与影响作业场所人员职业健康安全的任何变化的讨论。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现有的沟通渠道和方法能满足要求。</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9.3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bookmarkStart w:id="1" w:name="_GoBack"/>
            <w:r>
              <w:rPr>
                <w:rFonts w:hint="eastAsia" w:ascii="宋体" w:hAnsi="宋体" w:eastAsia="宋体" w:cs="Arial"/>
                <w:color w:val="auto"/>
                <w:spacing w:val="-6"/>
                <w:sz w:val="21"/>
                <w:szCs w:val="21"/>
                <w:lang w:val="en-US" w:eastAsia="zh-CN"/>
              </w:rPr>
              <w:t>2022年3月7日</w:t>
            </w:r>
            <w:bookmarkEnd w:id="1"/>
            <w:r>
              <w:rPr>
                <w:rFonts w:hint="eastAsia" w:ascii="宋体" w:hAnsi="宋体" w:eastAsia="宋体" w:cs="Arial"/>
                <w:color w:val="auto"/>
                <w:spacing w:val="-6"/>
                <w:sz w:val="21"/>
                <w:szCs w:val="21"/>
                <w:lang w:val="en-US" w:eastAsia="zh-CN"/>
              </w:rPr>
              <w:t>在会议室总经理聂建春主持了管理评审。保留有管理评审计划、管理评审会议通知、评审记录、评审报告和改进措施计划等；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FF0000"/>
                <w:spacing w:val="-6"/>
                <w:sz w:val="21"/>
                <w:szCs w:val="21"/>
                <w:lang w:val="en-US" w:eastAsia="zh-CN"/>
              </w:rPr>
            </w:pPr>
            <w:r>
              <w:rPr>
                <w:rFonts w:hint="eastAsia" w:ascii="宋体" w:hAnsi="宋体" w:eastAsia="宋体" w:cs="Arial"/>
                <w:color w:val="FF0000"/>
                <w:spacing w:val="-6"/>
                <w:sz w:val="21"/>
                <w:szCs w:val="21"/>
                <w:lang w:val="en-US" w:eastAsia="zh-CN"/>
              </w:rPr>
              <w:t>管理评审输入没有对上次评审的改进意见进行跟踪的证据，交流；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管理评审结论：经评审认为本公司的质量管理体系的建立和运行是充分的、适宜的、有效的。</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改进措施建议：有2项，主要是</w:t>
            </w:r>
            <w:r>
              <w:rPr>
                <w:rFonts w:hint="default" w:ascii="宋体" w:hAnsi="宋体" w:eastAsia="宋体" w:cs="Arial"/>
                <w:color w:val="auto"/>
                <w:spacing w:val="-6"/>
                <w:sz w:val="21"/>
                <w:szCs w:val="21"/>
                <w:lang w:val="en-US" w:eastAsia="zh-CN"/>
              </w:rPr>
              <w:t>节能降耗，减少生产车间和办公区域资源能源和办公器材消耗量；</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制定有“管理评审改进措施计划”。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基本符合要求。</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10.1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职业健康意识、安全意识有较大的提高，持续改进了管理体系的有效性。</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上次审核不符合项的验证</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上次审核未开具不符合报告。</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eastAsia="zh-CN"/>
              </w:rPr>
            </w:pPr>
            <w:r>
              <w:rPr>
                <w:rFonts w:hint="eastAsia" w:ascii="宋体" w:hAnsi="宋体" w:eastAsia="宋体" w:cs="Arial"/>
                <w:spacing w:val="-6"/>
                <w:sz w:val="21"/>
                <w:szCs w:val="21"/>
                <w:lang w:eastAsia="zh-CN"/>
              </w:rPr>
              <w:t>证书、标志使用情况</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用于招投标，符合。</w:t>
            </w:r>
          </w:p>
        </w:tc>
        <w:tc>
          <w:tcPr>
            <w:tcW w:w="0" w:type="auto"/>
            <w:vAlign w:val="top"/>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0" w:type="auto"/>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自公司成立以来，行业主管部门和政府有关单位对公司进行检查时提出的小问题都能及时整改；目前没有相关行政主管部门的检查，也未发生抽查、相关方投诉等情况。</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本周期未受到上级主管部门有关职业健康安全的行政处罚，未发生相关方的投诉。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暂时没有国家/地方抽查情况。</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4A3D6624"/>
    <w:rsid w:val="620B0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4278</Words>
  <Characters>4448</Characters>
  <Lines>1</Lines>
  <Paragraphs>1</Paragraphs>
  <TotalTime>28</TotalTime>
  <ScaleCrop>false</ScaleCrop>
  <LinksUpToDate>false</LinksUpToDate>
  <CharactersWithSpaces>4470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2022-04-30T07:48:10Z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70425E80BF4C42059C59E1E6364BFD1E</vt:lpwstr>
  </property>
  <property fmtid="{D5CDD505-2E9C-101B-9397-08002B2CF9AE}" pid="3" name="KSOProductBuildVer">
    <vt:lpwstr>2052-11.1.0.11636</vt:lpwstr>
  </property>
</Properties>
</file>