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r>
        <w:rPr>
          <w:rFonts w:hint="eastAsia" w:ascii="隶书" w:hAnsi="宋体" w:eastAsia="隶书"/>
          <w:bCs/>
          <w:color w:val="000000"/>
          <w:sz w:val="36"/>
          <w:szCs w:val="36"/>
          <w:lang w:eastAsia="zh-CN"/>
        </w:rPr>
        <w:t>）</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175"/>
        <w:gridCol w:w="1054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45"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1175"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545" w:type="dxa"/>
            <w:vAlign w:val="center"/>
          </w:tcPr>
          <w:p>
            <w:pPr>
              <w:rPr>
                <w:rFonts w:hint="default" w:eastAsia="宋体"/>
                <w:sz w:val="21"/>
                <w:szCs w:val="21"/>
                <w:lang w:val="en-US" w:eastAsia="zh-CN"/>
              </w:rPr>
            </w:pPr>
            <w:r>
              <w:rPr>
                <w:rFonts w:hint="eastAsia"/>
                <w:sz w:val="21"/>
                <w:szCs w:val="21"/>
              </w:rPr>
              <w:t>受审核部门：</w:t>
            </w:r>
            <w:r>
              <w:rPr>
                <w:rFonts w:hint="eastAsia" w:ascii="宋体" w:hAnsi="宋体"/>
                <w:b/>
                <w:bCs/>
                <w:sz w:val="21"/>
                <w:szCs w:val="21"/>
              </w:rPr>
              <w:t>管理层</w:t>
            </w:r>
            <w:r>
              <w:rPr>
                <w:rFonts w:hint="eastAsia"/>
                <w:sz w:val="21"/>
                <w:szCs w:val="21"/>
                <w:lang w:val="en-US" w:eastAsia="zh-CN"/>
              </w:rPr>
              <w:t xml:space="preserve">                             </w:t>
            </w:r>
            <w:r>
              <w:rPr>
                <w:rFonts w:hint="eastAsia"/>
                <w:sz w:val="21"/>
                <w:szCs w:val="21"/>
              </w:rPr>
              <w:t>主管领导：</w:t>
            </w:r>
            <w:r>
              <w:rPr>
                <w:rFonts w:hint="eastAsia" w:eastAsia="宋体"/>
                <w:szCs w:val="24"/>
                <w:lang w:eastAsia="zh-CN"/>
              </w:rPr>
              <w:t>邹小敏</w:t>
            </w:r>
            <w:r>
              <w:rPr>
                <w:rFonts w:hint="eastAsia"/>
                <w:sz w:val="21"/>
                <w:szCs w:val="21"/>
                <w:lang w:val="en-US" w:eastAsia="zh-CN"/>
              </w:rPr>
              <w:t xml:space="preserve">        </w:t>
            </w:r>
            <w:r>
              <w:rPr>
                <w:rFonts w:hint="eastAsia"/>
                <w:sz w:val="21"/>
                <w:szCs w:val="21"/>
              </w:rPr>
              <w:t>陪同人员：</w:t>
            </w:r>
            <w:r>
              <w:rPr>
                <w:rFonts w:hint="eastAsia" w:eastAsia="宋体"/>
                <w:szCs w:val="24"/>
                <w:lang w:val="en-US" w:eastAsia="zh-CN"/>
              </w:rPr>
              <w:t>刘增锦</w:t>
            </w:r>
          </w:p>
        </w:tc>
        <w:tc>
          <w:tcPr>
            <w:tcW w:w="1044"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45" w:type="dxa"/>
            <w:vMerge w:val="continue"/>
            <w:vAlign w:val="center"/>
          </w:tcPr>
          <w:p>
            <w:pPr>
              <w:spacing w:line="360" w:lineRule="auto"/>
              <w:rPr>
                <w:sz w:val="21"/>
                <w:szCs w:val="21"/>
              </w:rPr>
            </w:pPr>
          </w:p>
        </w:tc>
        <w:tc>
          <w:tcPr>
            <w:tcW w:w="1175" w:type="dxa"/>
            <w:vMerge w:val="continue"/>
            <w:vAlign w:val="center"/>
          </w:tcPr>
          <w:p>
            <w:pPr>
              <w:spacing w:line="360" w:lineRule="auto"/>
              <w:rPr>
                <w:sz w:val="21"/>
                <w:szCs w:val="21"/>
              </w:rPr>
            </w:pPr>
          </w:p>
        </w:tc>
        <w:tc>
          <w:tcPr>
            <w:tcW w:w="10545" w:type="dxa"/>
            <w:vAlign w:val="center"/>
          </w:tcPr>
          <w:p>
            <w:pPr>
              <w:spacing w:before="120"/>
              <w:rPr>
                <w:rFonts w:hint="default" w:eastAsia="宋体"/>
                <w:sz w:val="21"/>
                <w:szCs w:val="21"/>
                <w:lang w:val="en-US" w:eastAsia="zh-CN"/>
              </w:rPr>
            </w:pPr>
            <w:r>
              <w:rPr>
                <w:rFonts w:hint="eastAsia"/>
                <w:sz w:val="21"/>
                <w:szCs w:val="21"/>
              </w:rPr>
              <w:t>审核员：王景玲</w:t>
            </w:r>
            <w:r>
              <w:rPr>
                <w:rFonts w:hint="eastAsia"/>
                <w:sz w:val="21"/>
                <w:szCs w:val="21"/>
                <w:lang w:val="en-US" w:eastAsia="zh-CN"/>
              </w:rPr>
              <w:t xml:space="preserve">                                  </w:t>
            </w:r>
            <w:bookmarkStart w:id="0" w:name="_GoBack"/>
            <w:bookmarkEnd w:id="0"/>
            <w:r>
              <w:rPr>
                <w:rFonts w:hint="eastAsia"/>
                <w:sz w:val="21"/>
                <w:szCs w:val="21"/>
              </w:rPr>
              <w:t>审核时间：</w:t>
            </w:r>
            <w:r>
              <w:rPr>
                <w:rFonts w:hint="eastAsia" w:ascii="宋体" w:hAnsi="宋体" w:eastAsia="宋体" w:cs="Arial"/>
                <w:color w:val="auto"/>
                <w:spacing w:val="-6"/>
                <w:sz w:val="21"/>
                <w:szCs w:val="21"/>
              </w:rPr>
              <w:t>2022年04月29日 下午</w:t>
            </w:r>
          </w:p>
        </w:tc>
        <w:tc>
          <w:tcPr>
            <w:tcW w:w="1044"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45" w:type="dxa"/>
            <w:vMerge w:val="continue"/>
            <w:vAlign w:val="center"/>
          </w:tcPr>
          <w:p>
            <w:pPr>
              <w:spacing w:line="360" w:lineRule="auto"/>
              <w:rPr>
                <w:sz w:val="21"/>
                <w:szCs w:val="21"/>
              </w:rPr>
            </w:pPr>
          </w:p>
        </w:tc>
        <w:tc>
          <w:tcPr>
            <w:tcW w:w="1175" w:type="dxa"/>
            <w:vMerge w:val="continue"/>
            <w:vAlign w:val="center"/>
          </w:tcPr>
          <w:p>
            <w:pPr>
              <w:spacing w:line="360" w:lineRule="auto"/>
              <w:rPr>
                <w:sz w:val="21"/>
                <w:szCs w:val="21"/>
              </w:rPr>
            </w:pPr>
          </w:p>
        </w:tc>
        <w:tc>
          <w:tcPr>
            <w:tcW w:w="10545" w:type="dxa"/>
            <w:vAlign w:val="center"/>
          </w:tcPr>
          <w:p>
            <w:pPr>
              <w:spacing w:line="360" w:lineRule="auto"/>
              <w:rPr>
                <w:rFonts w:hint="eastAsia"/>
                <w:sz w:val="21"/>
                <w:szCs w:val="21"/>
              </w:rPr>
            </w:pPr>
            <w:r>
              <w:rPr>
                <w:rFonts w:hint="eastAsia"/>
                <w:sz w:val="21"/>
                <w:szCs w:val="21"/>
              </w:rPr>
              <w:t>审核条款：</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QE:4.1理解组织及其环境、4.2理解相关方的需求和期望、4.3确定管理体系的范围、4.4质量/环境</w:t>
            </w:r>
            <w:r>
              <w:rPr>
                <w:rFonts w:hint="eastAsia" w:ascii="宋体" w:hAnsi="宋体" w:eastAsia="宋体" w:cs="Arial"/>
                <w:color w:val="auto"/>
                <w:spacing w:val="-6"/>
                <w:sz w:val="21"/>
                <w:szCs w:val="21"/>
                <w:lang w:val="en-US" w:eastAsia="zh-CN"/>
              </w:rPr>
              <w:t>/职业健康安全</w:t>
            </w:r>
            <w:r>
              <w:rPr>
                <w:rFonts w:hint="eastAsia" w:ascii="宋体" w:hAnsi="宋体" w:eastAsia="宋体" w:cs="Arial"/>
                <w:color w:val="auto"/>
                <w:spacing w:val="-6"/>
                <w:sz w:val="21"/>
                <w:szCs w:val="21"/>
              </w:rPr>
              <w:t>管理体系及其过程、</w:t>
            </w:r>
            <w:r>
              <w:rPr>
                <w:rFonts w:hint="eastAsia" w:ascii="宋体" w:hAnsi="宋体" w:eastAsia="宋体" w:cs="Arial"/>
                <w:color w:val="auto"/>
                <w:spacing w:val="-6"/>
                <w:sz w:val="21"/>
                <w:szCs w:val="21"/>
                <w:lang w:val="en-US" w:eastAsia="zh-CN"/>
              </w:rPr>
              <w:t>5.1领导作用、</w:t>
            </w:r>
            <w:r>
              <w:rPr>
                <w:rFonts w:hint="eastAsia" w:ascii="宋体" w:hAnsi="宋体" w:eastAsia="宋体" w:cs="Arial"/>
                <w:color w:val="auto"/>
                <w:spacing w:val="-6"/>
                <w:sz w:val="21"/>
                <w:szCs w:val="21"/>
              </w:rPr>
              <w:t>5.2质量/环境</w:t>
            </w:r>
            <w:r>
              <w:rPr>
                <w:rFonts w:hint="eastAsia" w:ascii="宋体" w:hAnsi="宋体" w:eastAsia="宋体" w:cs="Arial"/>
                <w:color w:val="auto"/>
                <w:spacing w:val="-6"/>
                <w:sz w:val="21"/>
                <w:szCs w:val="21"/>
                <w:lang w:val="en-US" w:eastAsia="zh-CN"/>
              </w:rPr>
              <w:t>/职业健康安全</w:t>
            </w:r>
            <w:r>
              <w:rPr>
                <w:rFonts w:hint="eastAsia" w:ascii="宋体" w:hAnsi="宋体" w:eastAsia="宋体" w:cs="Arial"/>
                <w:color w:val="auto"/>
                <w:spacing w:val="-6"/>
                <w:sz w:val="21"/>
                <w:szCs w:val="21"/>
              </w:rPr>
              <w:t>方针、5.3组织的岗位、职责和权限、6.1应对风险和机遇的措施、6.2质量/环境</w:t>
            </w:r>
            <w:r>
              <w:rPr>
                <w:rFonts w:hint="eastAsia" w:ascii="宋体" w:hAnsi="宋体" w:eastAsia="宋体" w:cs="Arial"/>
                <w:color w:val="auto"/>
                <w:spacing w:val="-6"/>
                <w:sz w:val="21"/>
                <w:szCs w:val="21"/>
                <w:lang w:val="en-US" w:eastAsia="zh-CN"/>
              </w:rPr>
              <w:t>/职业健康安全</w:t>
            </w:r>
            <w:r>
              <w:rPr>
                <w:rFonts w:hint="eastAsia" w:ascii="宋体" w:hAnsi="宋体" w:eastAsia="宋体" w:cs="Arial"/>
                <w:color w:val="auto"/>
                <w:spacing w:val="-6"/>
                <w:sz w:val="21"/>
                <w:szCs w:val="21"/>
              </w:rPr>
              <w:t>目标及其实现的策划、7.1.1（E7.1）资源总则、7.4沟通/信息交流、9.3管理评审、10持续改进</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Q6.3变更的策划</w:t>
            </w:r>
          </w:p>
          <w:p>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Q8.3删减合理性</w:t>
            </w:r>
          </w:p>
          <w:p>
            <w:pPr>
              <w:adjustRightInd w:val="0"/>
              <w:snapToGrid w:val="0"/>
              <w:spacing w:line="360" w:lineRule="auto"/>
              <w:ind w:right="105" w:rightChars="50"/>
              <w:textAlignment w:val="baseline"/>
              <w:rPr>
                <w:sz w:val="21"/>
                <w:szCs w:val="21"/>
              </w:rPr>
            </w:pPr>
            <w:r>
              <w:rPr>
                <w:rFonts w:hint="eastAsia" w:ascii="宋体" w:hAnsi="宋体" w:eastAsia="宋体" w:cs="Arial"/>
                <w:color w:val="auto"/>
                <w:spacing w:val="-6"/>
                <w:sz w:val="21"/>
                <w:szCs w:val="21"/>
              </w:rPr>
              <w:t>标准/规范/法规的执行情况、</w:t>
            </w:r>
            <w:r>
              <w:rPr>
                <w:rFonts w:hint="eastAsia" w:ascii="宋体" w:hAnsi="宋体" w:eastAsia="宋体" w:cs="Arial"/>
                <w:color w:val="auto"/>
                <w:spacing w:val="-6"/>
                <w:sz w:val="21"/>
                <w:szCs w:val="21"/>
                <w:lang w:val="en-US" w:eastAsia="zh-CN"/>
              </w:rPr>
              <w:t>上次</w:t>
            </w:r>
            <w:r>
              <w:rPr>
                <w:rFonts w:hint="eastAsia" w:ascii="宋体" w:hAnsi="宋体" w:eastAsia="宋体" w:cs="Arial"/>
                <w:color w:val="auto"/>
                <w:spacing w:val="-6"/>
                <w:sz w:val="21"/>
                <w:szCs w:val="21"/>
              </w:rPr>
              <w:t>审核不符合项的验证、认证证书、标志的使用情况、投诉或事故、监督抽查情况</w:t>
            </w:r>
          </w:p>
        </w:tc>
        <w:tc>
          <w:tcPr>
            <w:tcW w:w="1044"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理解组织及其环境</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QE:4.1</w:t>
            </w:r>
          </w:p>
        </w:tc>
        <w:tc>
          <w:tcPr>
            <w:tcW w:w="10545" w:type="dxa"/>
          </w:tcPr>
          <w:p>
            <w:pPr>
              <w:spacing w:line="360" w:lineRule="auto"/>
              <w:ind w:firstLine="420" w:firstLineChars="200"/>
              <w:rPr>
                <w:rFonts w:hint="eastAsia"/>
                <w:sz w:val="21"/>
                <w:szCs w:val="21"/>
                <w:highlight w:val="none"/>
                <w:lang w:eastAsia="zh-CN"/>
              </w:rPr>
            </w:pPr>
            <w:r>
              <w:rPr>
                <w:rFonts w:hint="eastAsia"/>
                <w:sz w:val="21"/>
                <w:szCs w:val="21"/>
                <w:highlight w:val="none"/>
                <w:lang w:val="zh-CN"/>
              </w:rPr>
              <w:t>江西锐克斯科技有限公司成立于2000年5月，</w:t>
            </w:r>
            <w:r>
              <w:rPr>
                <w:rFonts w:hint="eastAsia"/>
                <w:sz w:val="21"/>
                <w:szCs w:val="21"/>
                <w:highlight w:val="none"/>
              </w:rPr>
              <w:t>注册资金</w:t>
            </w:r>
            <w:r>
              <w:rPr>
                <w:rFonts w:hint="eastAsia"/>
                <w:sz w:val="21"/>
                <w:szCs w:val="21"/>
                <w:highlight w:val="none"/>
                <w:lang w:val="en-US" w:eastAsia="zh-CN"/>
              </w:rPr>
              <w:t>600</w:t>
            </w:r>
            <w:r>
              <w:rPr>
                <w:rFonts w:hint="eastAsia"/>
                <w:sz w:val="21"/>
                <w:szCs w:val="21"/>
                <w:highlight w:val="none"/>
              </w:rPr>
              <w:t>万元</w:t>
            </w:r>
            <w:r>
              <w:rPr>
                <w:rFonts w:hint="eastAsia"/>
                <w:sz w:val="21"/>
                <w:szCs w:val="21"/>
                <w:highlight w:val="none"/>
                <w:lang w:eastAsia="zh-CN"/>
              </w:rPr>
              <w:t>；</w:t>
            </w:r>
          </w:p>
          <w:p>
            <w:p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公司位于江西省樟树市阁山镇，厂区总面积23124平方米，生产车间建筑面积3036平方米，一层综合办公楼建筑面积1000平方米；</w:t>
            </w:r>
          </w:p>
          <w:p>
            <w:pPr>
              <w:spacing w:line="360" w:lineRule="auto"/>
              <w:ind w:firstLine="420" w:firstLineChars="200"/>
              <w:rPr>
                <w:rFonts w:hint="eastAsia"/>
                <w:sz w:val="21"/>
                <w:szCs w:val="21"/>
                <w:highlight w:val="none"/>
              </w:rPr>
            </w:pPr>
            <w:r>
              <w:rPr>
                <w:rFonts w:hint="eastAsia"/>
                <w:sz w:val="21"/>
                <w:szCs w:val="21"/>
                <w:highlight w:val="none"/>
                <w:lang w:val="en-US" w:eastAsia="zh-CN"/>
              </w:rPr>
              <w:t>现有</w:t>
            </w:r>
            <w:r>
              <w:rPr>
                <w:rFonts w:hint="eastAsia"/>
                <w:sz w:val="21"/>
                <w:szCs w:val="21"/>
                <w:highlight w:val="none"/>
                <w:lang w:eastAsia="zh-CN"/>
              </w:rPr>
              <w:t>职工</w:t>
            </w:r>
            <w:r>
              <w:rPr>
                <w:rFonts w:hint="eastAsia"/>
                <w:sz w:val="21"/>
                <w:szCs w:val="21"/>
                <w:highlight w:val="none"/>
                <w:lang w:val="en-US" w:eastAsia="zh-CN"/>
              </w:rPr>
              <w:t>15人，</w:t>
            </w:r>
            <w:r>
              <w:rPr>
                <w:rFonts w:hint="eastAsia"/>
                <w:sz w:val="21"/>
                <w:szCs w:val="21"/>
                <w:highlight w:val="none"/>
              </w:rPr>
              <w:t>主要设备有小样机</w:t>
            </w:r>
            <w:r>
              <w:rPr>
                <w:rFonts w:hint="eastAsia"/>
                <w:sz w:val="21"/>
                <w:szCs w:val="21"/>
                <w:highlight w:val="none"/>
                <w:lang w:eastAsia="zh-CN"/>
              </w:rPr>
              <w:t>、</w:t>
            </w:r>
            <w:r>
              <w:rPr>
                <w:rFonts w:hint="eastAsia"/>
                <w:sz w:val="21"/>
                <w:szCs w:val="21"/>
                <w:highlight w:val="none"/>
              </w:rPr>
              <w:t>搅拌机</w:t>
            </w:r>
            <w:r>
              <w:rPr>
                <w:rFonts w:hint="eastAsia"/>
                <w:sz w:val="21"/>
                <w:szCs w:val="21"/>
                <w:highlight w:val="none"/>
                <w:lang w:eastAsia="zh-CN"/>
              </w:rPr>
              <w:t>、</w:t>
            </w:r>
            <w:r>
              <w:rPr>
                <w:rFonts w:hint="eastAsia"/>
                <w:sz w:val="21"/>
                <w:szCs w:val="21"/>
                <w:highlight w:val="none"/>
              </w:rPr>
              <w:t>双螺杆挤出机</w:t>
            </w:r>
            <w:r>
              <w:rPr>
                <w:rFonts w:hint="eastAsia"/>
                <w:sz w:val="21"/>
                <w:szCs w:val="21"/>
                <w:highlight w:val="none"/>
                <w:lang w:eastAsia="zh-CN"/>
              </w:rPr>
              <w:t>、</w:t>
            </w:r>
            <w:r>
              <w:rPr>
                <w:rFonts w:hint="eastAsia"/>
                <w:sz w:val="21"/>
                <w:szCs w:val="21"/>
                <w:highlight w:val="none"/>
              </w:rPr>
              <w:t>风冷覆带式压片破碎机</w:t>
            </w:r>
            <w:r>
              <w:rPr>
                <w:rFonts w:hint="eastAsia"/>
                <w:sz w:val="21"/>
                <w:szCs w:val="21"/>
                <w:highlight w:val="none"/>
                <w:lang w:eastAsia="zh-CN"/>
              </w:rPr>
              <w:t>、</w:t>
            </w:r>
            <w:r>
              <w:rPr>
                <w:rFonts w:hint="eastAsia"/>
                <w:sz w:val="21"/>
                <w:szCs w:val="21"/>
                <w:highlight w:val="none"/>
              </w:rPr>
              <w:t>立式磨粉机等；</w:t>
            </w:r>
          </w:p>
          <w:p>
            <w:pPr>
              <w:spacing w:line="360" w:lineRule="auto"/>
              <w:ind w:firstLine="420" w:firstLineChars="200"/>
              <w:rPr>
                <w:rFonts w:hint="eastAsia"/>
                <w:sz w:val="21"/>
                <w:szCs w:val="21"/>
                <w:highlight w:val="none"/>
              </w:rPr>
            </w:pPr>
            <w:r>
              <w:rPr>
                <w:rFonts w:hint="eastAsia"/>
                <w:sz w:val="21"/>
                <w:szCs w:val="21"/>
                <w:highlight w:val="none"/>
              </w:rPr>
              <w:t>主要检测设备包括：涂层测厚仪</w:t>
            </w:r>
            <w:r>
              <w:rPr>
                <w:rFonts w:hint="eastAsia"/>
                <w:sz w:val="21"/>
                <w:szCs w:val="21"/>
                <w:highlight w:val="none"/>
                <w:lang w:eastAsia="zh-CN"/>
              </w:rPr>
              <w:t>、</w:t>
            </w:r>
            <w:r>
              <w:rPr>
                <w:rFonts w:hint="eastAsia"/>
                <w:sz w:val="21"/>
                <w:szCs w:val="21"/>
                <w:highlight w:val="none"/>
              </w:rPr>
              <w:t>电子台称</w:t>
            </w:r>
            <w:r>
              <w:rPr>
                <w:rFonts w:hint="eastAsia"/>
                <w:sz w:val="21"/>
                <w:szCs w:val="21"/>
                <w:highlight w:val="none"/>
                <w:lang w:eastAsia="zh-CN"/>
              </w:rPr>
              <w:t>、</w:t>
            </w:r>
            <w:r>
              <w:rPr>
                <w:rFonts w:hint="eastAsia"/>
                <w:sz w:val="21"/>
                <w:szCs w:val="21"/>
                <w:highlight w:val="none"/>
              </w:rPr>
              <w:t>光泽仪等；</w:t>
            </w:r>
          </w:p>
          <w:p>
            <w:pPr>
              <w:pStyle w:val="2"/>
              <w:rPr>
                <w:rFonts w:hint="eastAsia"/>
                <w:sz w:val="21"/>
                <w:szCs w:val="21"/>
              </w:rPr>
            </w:pPr>
            <w:r>
              <w:rPr>
                <w:rFonts w:hint="eastAsia" w:ascii="宋体" w:hAnsi="宋体" w:cs="Arial"/>
                <w:color w:val="auto"/>
                <w:spacing w:val="-6"/>
                <w:sz w:val="21"/>
                <w:szCs w:val="21"/>
                <w:lang w:val="en-US" w:eastAsia="zh-CN"/>
              </w:rPr>
              <w:t>安全环保设施包括有灭火器、</w:t>
            </w:r>
            <w:r>
              <w:rPr>
                <w:rFonts w:hint="eastAsia" w:ascii="宋体" w:hAnsi="宋体" w:cs="Arial"/>
                <w:color w:val="auto"/>
                <w:spacing w:val="-6"/>
                <w:sz w:val="21"/>
                <w:szCs w:val="21"/>
                <w:highlight w:val="none"/>
                <w:lang w:val="en-US" w:eastAsia="zh-CN"/>
              </w:rPr>
              <w:t>布袋除尘装置、个体防</w:t>
            </w:r>
            <w:r>
              <w:rPr>
                <w:rFonts w:hint="eastAsia" w:ascii="宋体" w:hAnsi="宋体" w:cs="Arial"/>
                <w:color w:val="auto"/>
                <w:spacing w:val="-6"/>
                <w:sz w:val="21"/>
                <w:szCs w:val="21"/>
                <w:lang w:val="en-US" w:eastAsia="zh-CN"/>
              </w:rPr>
              <w:t>护用品、垃圾桶等；</w:t>
            </w:r>
          </w:p>
          <w:p>
            <w:pPr>
              <w:spacing w:line="360" w:lineRule="auto"/>
              <w:ind w:firstLine="420" w:firstLineChars="200"/>
              <w:rPr>
                <w:rFonts w:hint="eastAsia"/>
                <w:sz w:val="21"/>
                <w:szCs w:val="21"/>
                <w:highlight w:val="none"/>
                <w:lang w:eastAsia="zh-CN"/>
              </w:rPr>
            </w:pPr>
            <w:r>
              <w:rPr>
                <w:rFonts w:hint="eastAsia"/>
                <w:sz w:val="21"/>
                <w:szCs w:val="21"/>
                <w:highlight w:val="none"/>
                <w:lang w:val="en-US" w:eastAsia="zh-CN"/>
              </w:rPr>
              <w:t>生产的静电粉末主要</w:t>
            </w:r>
            <w:r>
              <w:rPr>
                <w:rFonts w:hint="eastAsia"/>
                <w:sz w:val="21"/>
                <w:szCs w:val="21"/>
                <w:highlight w:val="none"/>
              </w:rPr>
              <w:t>有</w:t>
            </w:r>
            <w:r>
              <w:rPr>
                <w:rFonts w:hint="eastAsia"/>
                <w:sz w:val="21"/>
                <w:szCs w:val="21"/>
                <w:highlight w:val="none"/>
                <w:lang w:eastAsia="zh-CN"/>
              </w:rPr>
              <w:t>高光粉末、亚光粉末、</w:t>
            </w:r>
            <w:r>
              <w:rPr>
                <w:rFonts w:hint="eastAsia"/>
                <w:sz w:val="21"/>
                <w:szCs w:val="21"/>
                <w:highlight w:val="none"/>
                <w:lang w:val="en-US" w:eastAsia="zh-CN"/>
              </w:rPr>
              <w:t>TGIC粉末、美术型粉末四</w:t>
            </w:r>
            <w:r>
              <w:rPr>
                <w:rFonts w:hint="eastAsia"/>
                <w:sz w:val="21"/>
                <w:szCs w:val="21"/>
                <w:highlight w:val="none"/>
              </w:rPr>
              <w:t>大系列</w:t>
            </w:r>
            <w:r>
              <w:rPr>
                <w:rFonts w:hint="eastAsia"/>
                <w:sz w:val="21"/>
                <w:szCs w:val="21"/>
                <w:highlight w:val="none"/>
                <w:lang w:val="en-US" w:eastAsia="zh-CN"/>
              </w:rPr>
              <w:t>30</w:t>
            </w:r>
            <w:r>
              <w:rPr>
                <w:rFonts w:hint="eastAsia"/>
                <w:sz w:val="21"/>
                <w:szCs w:val="21"/>
                <w:highlight w:val="none"/>
              </w:rPr>
              <w:t>0多个品种，</w:t>
            </w:r>
            <w:r>
              <w:rPr>
                <w:rFonts w:hint="eastAsia"/>
                <w:sz w:val="21"/>
                <w:szCs w:val="21"/>
                <w:highlight w:val="none"/>
                <w:lang w:val="zh-CN"/>
              </w:rPr>
              <w:t>产品通过了国家涂料质量监督检验中心检测</w:t>
            </w:r>
            <w:r>
              <w:rPr>
                <w:rFonts w:hint="eastAsia"/>
                <w:sz w:val="21"/>
                <w:szCs w:val="21"/>
                <w:highlight w:val="none"/>
                <w:lang w:eastAsia="zh-CN"/>
              </w:rPr>
              <w:t>。</w:t>
            </w:r>
          </w:p>
          <w:p>
            <w:pPr>
              <w:spacing w:line="360" w:lineRule="auto"/>
              <w:ind w:firstLine="420" w:firstLineChars="200"/>
              <w:rPr>
                <w:rFonts w:hint="eastAsia"/>
                <w:sz w:val="21"/>
                <w:szCs w:val="21"/>
                <w:highlight w:val="none"/>
              </w:rPr>
            </w:pPr>
            <w:r>
              <w:rPr>
                <w:rFonts w:hint="eastAsia"/>
                <w:sz w:val="21"/>
                <w:szCs w:val="21"/>
                <w:highlight w:val="none"/>
              </w:rPr>
              <w:t>公司设置有办公室</w:t>
            </w:r>
            <w:r>
              <w:rPr>
                <w:rFonts w:hint="eastAsia"/>
                <w:sz w:val="21"/>
                <w:szCs w:val="21"/>
                <w:highlight w:val="none"/>
                <w:lang w:eastAsia="zh-CN"/>
              </w:rPr>
              <w:t>、</w:t>
            </w:r>
            <w:r>
              <w:rPr>
                <w:rFonts w:hint="eastAsia"/>
                <w:sz w:val="21"/>
                <w:szCs w:val="21"/>
                <w:highlight w:val="none"/>
              </w:rPr>
              <w:t>生产部</w:t>
            </w:r>
            <w:r>
              <w:rPr>
                <w:rFonts w:hint="eastAsia"/>
                <w:sz w:val="21"/>
                <w:szCs w:val="21"/>
                <w:highlight w:val="none"/>
                <w:lang w:eastAsia="zh-CN"/>
              </w:rPr>
              <w:t>、</w:t>
            </w:r>
            <w:r>
              <w:rPr>
                <w:rFonts w:hint="eastAsia"/>
                <w:sz w:val="21"/>
                <w:szCs w:val="21"/>
                <w:highlight w:val="none"/>
              </w:rPr>
              <w:t>供销部。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eastAsia="zh-CN"/>
              </w:rPr>
            </w:pPr>
            <w:r>
              <w:rPr>
                <w:rFonts w:hint="eastAsia" w:ascii="宋体" w:hAnsi="宋体" w:cs="Arial"/>
                <w:color w:val="auto"/>
                <w:spacing w:val="-6"/>
                <w:sz w:val="21"/>
                <w:szCs w:val="21"/>
                <w:highlight w:val="none"/>
                <w:lang w:val="en-US" w:eastAsia="zh-CN"/>
              </w:rPr>
              <w:t>公司</w:t>
            </w:r>
            <w:r>
              <w:rPr>
                <w:rFonts w:hint="eastAsia" w:ascii="宋体" w:hAnsi="宋体" w:eastAsia="宋体" w:cs="Arial"/>
                <w:color w:val="auto"/>
                <w:spacing w:val="-6"/>
                <w:sz w:val="21"/>
                <w:szCs w:val="21"/>
                <w:highlight w:val="none"/>
              </w:rPr>
              <w:t>定期汇总分析市场情况，包括行业发展情况，相关企业产品分析，竞品分析，</w:t>
            </w:r>
            <w:r>
              <w:rPr>
                <w:rFonts w:hint="eastAsia" w:ascii="宋体" w:hAnsi="宋体" w:cs="Arial"/>
                <w:color w:val="auto"/>
                <w:spacing w:val="-6"/>
                <w:sz w:val="21"/>
                <w:szCs w:val="21"/>
                <w:highlight w:val="none"/>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w:t>
            </w:r>
            <w:r>
              <w:rPr>
                <w:rFonts w:hint="eastAsia" w:ascii="宋体" w:hAnsi="宋体" w:cs="Arial"/>
                <w:color w:val="auto"/>
                <w:spacing w:val="-6"/>
                <w:sz w:val="21"/>
                <w:szCs w:val="21"/>
                <w:highlight w:val="none"/>
                <w:lang w:eastAsia="zh-CN"/>
              </w:rPr>
              <w:t>，</w:t>
            </w:r>
            <w:r>
              <w:rPr>
                <w:rFonts w:hint="eastAsia" w:ascii="宋体" w:hAnsi="宋体" w:cs="Arial"/>
                <w:color w:val="auto"/>
                <w:spacing w:val="-6"/>
                <w:sz w:val="21"/>
                <w:szCs w:val="21"/>
                <w:highlight w:val="none"/>
              </w:rPr>
              <w:t>如</w:t>
            </w:r>
            <w:r>
              <w:rPr>
                <w:rFonts w:hint="eastAsia" w:ascii="宋体" w:hAnsi="宋体" w:cs="Arial"/>
                <w:color w:val="auto"/>
                <w:spacing w:val="-6"/>
                <w:sz w:val="21"/>
                <w:szCs w:val="21"/>
                <w:highlight w:val="none"/>
                <w:lang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外部因素——国际经济政治形势、材料价格变动、竞争对手、客户需求的变化、新技术的采用等；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内部因素有-公司文化、内部管理机制的建立、人员稳定性、员工年龄、经验等；</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rPr>
            </w:pPr>
            <w:r>
              <w:rPr>
                <w:rFonts w:hint="eastAsia" w:ascii="宋体" w:hAnsi="宋体" w:eastAsia="宋体" w:cs="Arial"/>
                <w:color w:val="auto"/>
                <w:spacing w:val="-6"/>
                <w:sz w:val="21"/>
                <w:szCs w:val="21"/>
                <w:highlight w:val="none"/>
              </w:rPr>
              <w:t>这些因素包括了需要考虑的正面和负面因素或条件。</w:t>
            </w:r>
          </w:p>
          <w:p>
            <w:pPr>
              <w:adjustRightInd w:val="0"/>
              <w:snapToGrid w:val="0"/>
              <w:spacing w:line="360" w:lineRule="auto"/>
              <w:ind w:right="105" w:rightChars="50" w:firstLine="396" w:firstLineChars="200"/>
              <w:textAlignment w:val="baseline"/>
              <w:rPr>
                <w:rFonts w:hint="eastAsia"/>
                <w:sz w:val="21"/>
                <w:szCs w:val="21"/>
                <w:highlight w:val="none"/>
              </w:rPr>
            </w:pPr>
            <w:r>
              <w:rPr>
                <w:rFonts w:hint="eastAsia" w:ascii="宋体" w:hAnsi="宋体" w:eastAsia="宋体" w:cs="Arial"/>
                <w:color w:val="auto"/>
                <w:spacing w:val="-6"/>
                <w:sz w:val="21"/>
                <w:szCs w:val="21"/>
                <w:highlight w:val="none"/>
              </w:rPr>
              <w:t>公司每年根据公司销售人员从市场、客户、网络等搜集到的信息并结合公司自身业务运作情况进行分析，通过分析对这些内部和外部因素的相关信息进行监视和评审以确保其充分和适宜。</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理解相关方的需求和期望</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w:t>
            </w:r>
            <w:r>
              <w:rPr>
                <w:rFonts w:hint="eastAsia" w:ascii="宋体" w:hAnsi="宋体" w:eastAsia="宋体" w:cs="Arial"/>
                <w:spacing w:val="-6"/>
                <w:sz w:val="21"/>
                <w:szCs w:val="21"/>
              </w:rPr>
              <w:t>4.2</w:t>
            </w:r>
          </w:p>
        </w:tc>
        <w:tc>
          <w:tcPr>
            <w:tcW w:w="10545" w:type="dxa"/>
          </w:tcPr>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保留“</w:t>
            </w:r>
            <w:r>
              <w:rPr>
                <w:rFonts w:hint="eastAsia"/>
                <w:color w:val="auto"/>
                <w:sz w:val="21"/>
                <w:szCs w:val="21"/>
              </w:rPr>
              <w:t>相关方期望或要求识别表</w:t>
            </w:r>
            <w:r>
              <w:rPr>
                <w:rFonts w:hint="eastAsia"/>
                <w:color w:val="auto"/>
                <w:sz w:val="21"/>
                <w:szCs w:val="21"/>
                <w:lang w:eastAsia="zh-CN"/>
              </w:rPr>
              <w:t>”，</w:t>
            </w:r>
            <w:r>
              <w:rPr>
                <w:rFonts w:hint="eastAsia"/>
                <w:color w:val="auto"/>
                <w:sz w:val="21"/>
                <w:szCs w:val="21"/>
                <w:lang w:val="en-US" w:eastAsia="zh-CN"/>
              </w:rPr>
              <w:t>公司内外部相关方包括：</w:t>
            </w:r>
            <w:r>
              <w:rPr>
                <w:rFonts w:hint="eastAsia"/>
                <w:color w:val="auto"/>
                <w:sz w:val="21"/>
                <w:szCs w:val="21"/>
              </w:rPr>
              <w:t>顾客/最终消费者</w:t>
            </w:r>
            <w:r>
              <w:rPr>
                <w:rFonts w:hint="eastAsia"/>
                <w:color w:val="auto"/>
                <w:sz w:val="21"/>
                <w:szCs w:val="21"/>
                <w:lang w:eastAsia="zh-CN"/>
              </w:rPr>
              <w:t>、</w:t>
            </w:r>
            <w:r>
              <w:rPr>
                <w:rFonts w:hint="eastAsia"/>
                <w:color w:val="auto"/>
                <w:sz w:val="21"/>
                <w:szCs w:val="21"/>
              </w:rPr>
              <w:t>员工</w:t>
            </w:r>
            <w:r>
              <w:rPr>
                <w:rFonts w:hint="eastAsia"/>
                <w:color w:val="auto"/>
                <w:sz w:val="21"/>
                <w:szCs w:val="21"/>
                <w:lang w:eastAsia="zh-CN"/>
              </w:rPr>
              <w:t>、</w:t>
            </w:r>
            <w:r>
              <w:rPr>
                <w:rFonts w:hint="eastAsia"/>
                <w:color w:val="auto"/>
                <w:sz w:val="21"/>
                <w:szCs w:val="21"/>
              </w:rPr>
              <w:t>政府</w:t>
            </w:r>
            <w:r>
              <w:rPr>
                <w:rFonts w:hint="eastAsia"/>
                <w:color w:val="auto"/>
                <w:sz w:val="21"/>
                <w:szCs w:val="21"/>
                <w:lang w:eastAsia="zh-CN"/>
              </w:rPr>
              <w:t>、</w:t>
            </w:r>
            <w:r>
              <w:rPr>
                <w:rFonts w:hint="eastAsia"/>
                <w:color w:val="auto"/>
                <w:sz w:val="21"/>
                <w:szCs w:val="21"/>
              </w:rPr>
              <w:t>外部供方</w:t>
            </w:r>
            <w:r>
              <w:rPr>
                <w:rFonts w:hint="eastAsia"/>
                <w:color w:val="auto"/>
                <w:sz w:val="21"/>
                <w:szCs w:val="21"/>
                <w:lang w:eastAsia="zh-CN"/>
              </w:rPr>
              <w:t>、</w:t>
            </w:r>
            <w:r>
              <w:rPr>
                <w:rFonts w:hint="eastAsia"/>
                <w:color w:val="auto"/>
                <w:sz w:val="21"/>
                <w:szCs w:val="21"/>
              </w:rPr>
              <w:t>竞争对手</w:t>
            </w:r>
            <w:r>
              <w:rPr>
                <w:rFonts w:hint="eastAsia"/>
                <w:color w:val="auto"/>
                <w:sz w:val="21"/>
                <w:szCs w:val="21"/>
                <w:lang w:eastAsia="zh-CN"/>
              </w:rPr>
              <w:t>、</w:t>
            </w:r>
            <w:r>
              <w:rPr>
                <w:rFonts w:hint="eastAsia"/>
                <w:color w:val="auto"/>
                <w:sz w:val="21"/>
                <w:szCs w:val="21"/>
              </w:rPr>
              <w:t>社会相邻单位</w:t>
            </w:r>
            <w:r>
              <w:rPr>
                <w:rFonts w:hint="eastAsia"/>
                <w:color w:val="auto"/>
                <w:sz w:val="21"/>
                <w:szCs w:val="21"/>
                <w:lang w:val="en-US" w:eastAsia="zh-CN"/>
              </w:rPr>
              <w:t>等；</w:t>
            </w:r>
          </w:p>
          <w:p>
            <w:pPr>
              <w:spacing w:line="360" w:lineRule="auto"/>
              <w:ind w:firstLine="420" w:firstLineChars="200"/>
              <w:rPr>
                <w:rFonts w:hint="eastAsia"/>
                <w:color w:val="auto"/>
                <w:sz w:val="21"/>
                <w:szCs w:val="21"/>
                <w:lang w:val="en-US" w:eastAsia="zh-CN"/>
              </w:rPr>
            </w:pPr>
            <w:r>
              <w:rPr>
                <w:rFonts w:hint="eastAsia"/>
                <w:color w:val="auto"/>
                <w:sz w:val="21"/>
                <w:szCs w:val="21"/>
                <w:lang w:val="en-US" w:eastAsia="zh-CN"/>
              </w:rPr>
              <w:t>清单中明确了相关方要求与期望、监测指标或项目、监测频率、监测部门等。</w:t>
            </w:r>
          </w:p>
          <w:p>
            <w:pPr>
              <w:spacing w:line="360" w:lineRule="auto"/>
              <w:ind w:firstLine="420" w:firstLineChars="200"/>
              <w:rPr>
                <w:rFonts w:hint="default" w:eastAsia="宋体"/>
                <w:sz w:val="21"/>
                <w:szCs w:val="21"/>
                <w:lang w:val="en-US" w:eastAsia="zh-CN"/>
              </w:rPr>
            </w:pPr>
            <w:r>
              <w:rPr>
                <w:rFonts w:hint="eastAsia"/>
                <w:color w:val="auto"/>
                <w:sz w:val="21"/>
                <w:szCs w:val="21"/>
                <w:lang w:val="en-US" w:eastAsia="zh-CN"/>
              </w:rPr>
              <w:t>基本符合。</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default" w:ascii="宋体" w:hAnsi="宋体" w:eastAsia="宋体" w:cs="Arial"/>
                <w:spacing w:val="-6"/>
                <w:sz w:val="21"/>
                <w:szCs w:val="21"/>
                <w:lang w:val="en-US" w:eastAsia="zh-CN"/>
              </w:rPr>
              <w:t>变更的策划</w:t>
            </w:r>
          </w:p>
        </w:tc>
        <w:tc>
          <w:tcPr>
            <w:tcW w:w="117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6.3</w:t>
            </w:r>
          </w:p>
        </w:tc>
        <w:tc>
          <w:tcPr>
            <w:tcW w:w="10545"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公司基于对4.1和4.2的考虑，分析了存在的风险和机遇：</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存在的机遇：国家整体经济的发展要求对整个行业的发展总体是利好；公司在行业内从业十几年，有着良好的口碑；给公司的发展带来了机遇</w:t>
            </w:r>
            <w:r>
              <w:rPr>
                <w:rFonts w:hint="eastAsia" w:ascii="宋体" w:hAnsi="宋体" w:cs="Arial"/>
                <w:color w:val="auto"/>
                <w:spacing w:val="-6"/>
                <w:sz w:val="21"/>
                <w:szCs w:val="21"/>
                <w:highlight w:val="none"/>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存在的风险：主要来自竞争对手的竞争，行业入门容易、技术含量低，原材料价格波动影响成本</w:t>
            </w:r>
            <w:r>
              <w:rPr>
                <w:rFonts w:hint="eastAsia" w:ascii="宋体" w:hAnsi="宋体" w:cs="Arial"/>
                <w:color w:val="auto"/>
                <w:spacing w:val="-6"/>
                <w:sz w:val="21"/>
                <w:szCs w:val="21"/>
                <w:highlight w:val="none"/>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编制有《风险和机遇的应对控制程序》，对组织内外的风险和机遇进行了策划。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重要环境因素：</w:t>
            </w:r>
            <w:r>
              <w:rPr>
                <w:rFonts w:hint="eastAsia" w:ascii="宋体"/>
                <w:color w:val="000000"/>
                <w:sz w:val="21"/>
                <w:szCs w:val="21"/>
              </w:rPr>
              <w:t>噪声排放、潜在火灾、粉尘排放、废气排放、固废排放</w:t>
            </w:r>
            <w:r>
              <w:rPr>
                <w:rFonts w:hint="eastAsia" w:ascii="宋体" w:hAnsi="宋体" w:cs="Arial"/>
                <w:color w:val="auto"/>
                <w:spacing w:val="-6"/>
                <w:sz w:val="21"/>
                <w:szCs w:val="21"/>
              </w:rPr>
              <w:t>，基本合理。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控制措施：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通用措施——</w:t>
            </w:r>
          </w:p>
          <w:p>
            <w:pPr>
              <w:keepNext w:val="0"/>
              <w:keepLines w:val="0"/>
              <w:pageBreakBefore w:val="0"/>
              <w:widowControl w:val="0"/>
              <w:kinsoku/>
              <w:wordWrap/>
              <w:overflowPunct/>
              <w:topLinePunct w:val="0"/>
              <w:autoSpaceDE/>
              <w:autoSpaceDN/>
              <w:bidi w:val="0"/>
              <w:adjustRightInd/>
              <w:snapToGrid w:val="0"/>
              <w:spacing w:line="360" w:lineRule="auto"/>
              <w:ind w:firstLine="630" w:firstLineChars="300"/>
              <w:jc w:val="left"/>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制定目标、指标，编制运行控制文件，运行控制；一旦发生按相关应急预案执行。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固（危）废——</w:t>
            </w:r>
          </w:p>
          <w:p>
            <w:pPr>
              <w:keepNext w:val="0"/>
              <w:keepLines w:val="0"/>
              <w:pageBreakBefore w:val="0"/>
              <w:widowControl w:val="0"/>
              <w:kinsoku/>
              <w:wordWrap/>
              <w:overflowPunct/>
              <w:topLinePunct w:val="0"/>
              <w:autoSpaceDE/>
              <w:autoSpaceDN/>
              <w:bidi w:val="0"/>
              <w:adjustRightInd/>
              <w:snapToGrid w:val="0"/>
              <w:spacing w:line="360" w:lineRule="auto"/>
              <w:ind w:firstLine="630" w:firstLineChars="300"/>
              <w:jc w:val="left"/>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一般固废集中收集外售；</w:t>
            </w:r>
            <w:r>
              <w:rPr>
                <w:rFonts w:hint="eastAsia" w:cs="Times New Roman"/>
                <w:b w:val="0"/>
                <w:bCs/>
                <w:kern w:val="2"/>
                <w:sz w:val="21"/>
                <w:szCs w:val="21"/>
                <w:lang w:val="en-US" w:eastAsia="zh-CN" w:bidi="ar-SA"/>
              </w:rPr>
              <w:t>（办公）</w:t>
            </w:r>
            <w:r>
              <w:rPr>
                <w:rFonts w:hint="eastAsia" w:ascii="Times New Roman" w:hAnsi="Times New Roman" w:eastAsia="宋体" w:cs="Times New Roman"/>
                <w:b w:val="0"/>
                <w:bCs/>
                <w:kern w:val="2"/>
                <w:sz w:val="21"/>
                <w:szCs w:val="21"/>
                <w:lang w:val="en-US" w:eastAsia="zh-CN" w:bidi="ar-SA"/>
              </w:rPr>
              <w:t>危废</w:t>
            </w:r>
            <w:r>
              <w:rPr>
                <w:rFonts w:hint="eastAsia" w:cs="Times New Roman"/>
                <w:b w:val="0"/>
                <w:bCs/>
                <w:kern w:val="2"/>
                <w:sz w:val="21"/>
                <w:szCs w:val="21"/>
                <w:lang w:val="en-US" w:eastAsia="zh-CN" w:bidi="ar-SA"/>
              </w:rPr>
              <w:t>以旧换新由供应商带回</w:t>
            </w:r>
            <w:r>
              <w:rPr>
                <w:rFonts w:hint="eastAsia" w:ascii="Times New Roman" w:hAnsi="Times New Roman" w:eastAsia="宋体" w:cs="Times New Roman"/>
                <w:b w:val="0"/>
                <w:bCs/>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噪声排放——</w:t>
            </w:r>
          </w:p>
          <w:p>
            <w:pPr>
              <w:keepNext w:val="0"/>
              <w:keepLines w:val="0"/>
              <w:pageBreakBefore w:val="0"/>
              <w:widowControl w:val="0"/>
              <w:kinsoku/>
              <w:wordWrap/>
              <w:overflowPunct/>
              <w:topLinePunct w:val="0"/>
              <w:autoSpaceDE/>
              <w:autoSpaceDN/>
              <w:bidi w:val="0"/>
              <w:adjustRightInd/>
              <w:snapToGrid w:val="0"/>
              <w:spacing w:line="360" w:lineRule="auto"/>
              <w:ind w:firstLine="630" w:firstLineChars="300"/>
              <w:jc w:val="left"/>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选用低噪声设备，合理布局，隔声减震，厂房隔音；</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潜在火灾——</w:t>
            </w:r>
          </w:p>
          <w:p>
            <w:pPr>
              <w:keepNext w:val="0"/>
              <w:keepLines w:val="0"/>
              <w:pageBreakBefore w:val="0"/>
              <w:widowControl w:val="0"/>
              <w:kinsoku/>
              <w:wordWrap/>
              <w:overflowPunct/>
              <w:topLinePunct w:val="0"/>
              <w:autoSpaceDE/>
              <w:autoSpaceDN/>
              <w:bidi w:val="0"/>
              <w:adjustRightInd/>
              <w:snapToGrid w:val="0"/>
              <w:spacing w:line="360" w:lineRule="auto"/>
              <w:ind w:firstLine="630" w:firstLineChars="300"/>
              <w:jc w:val="left"/>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设备、电路定期检修、检查，人员持证上岗；配置消防器材、做好火灾预防措施；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粉尘/废气排放——</w:t>
            </w:r>
          </w:p>
          <w:p>
            <w:pPr>
              <w:keepNext w:val="0"/>
              <w:keepLines w:val="0"/>
              <w:pageBreakBefore w:val="0"/>
              <w:widowControl w:val="0"/>
              <w:kinsoku/>
              <w:wordWrap/>
              <w:overflowPunct/>
              <w:topLinePunct w:val="0"/>
              <w:autoSpaceDE/>
              <w:autoSpaceDN/>
              <w:bidi w:val="0"/>
              <w:adjustRightInd/>
              <w:snapToGrid w:val="0"/>
              <w:spacing w:line="360" w:lineRule="auto"/>
              <w:ind w:firstLine="630" w:firstLineChars="300"/>
              <w:jc w:val="left"/>
              <w:textAlignment w:val="auto"/>
              <w:rPr>
                <w:rFonts w:hint="eastAsia" w:ascii="宋体" w:hAnsi="宋体" w:cs="Arial"/>
                <w:color w:val="auto"/>
                <w:spacing w:val="-6"/>
                <w:sz w:val="21"/>
                <w:szCs w:val="21"/>
              </w:rPr>
            </w:pPr>
            <w:r>
              <w:rPr>
                <w:rFonts w:hint="eastAsia" w:ascii="Times New Roman" w:hAnsi="Times New Roman" w:eastAsia="宋体" w:cs="Times New Roman"/>
                <w:b w:val="0"/>
                <w:bCs/>
                <w:kern w:val="2"/>
                <w:sz w:val="21"/>
                <w:szCs w:val="21"/>
                <w:lang w:val="en-US" w:eastAsia="zh-CN" w:bidi="ar-SA"/>
              </w:rPr>
              <w:t>配置环保设施（吸/除尘、废气吸附），达标排放。</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为应对</w:t>
            </w:r>
            <w:r>
              <w:rPr>
                <w:rFonts w:hint="eastAsia" w:ascii="宋体" w:hAnsi="宋体" w:cs="Arial"/>
                <w:color w:val="auto"/>
                <w:spacing w:val="-6"/>
                <w:sz w:val="21"/>
                <w:szCs w:val="21"/>
                <w:lang w:val="en-US" w:eastAsia="zh-CN"/>
              </w:rPr>
              <w:t>上述</w:t>
            </w:r>
            <w:r>
              <w:rPr>
                <w:rFonts w:hint="eastAsia" w:ascii="宋体" w:hAnsi="宋体" w:cs="Arial"/>
                <w:color w:val="auto"/>
                <w:spacing w:val="-6"/>
                <w:sz w:val="21"/>
                <w:szCs w:val="21"/>
              </w:rPr>
              <w:t>的风险和机遇，公司依据ISO9001：2015、ISO14001：2015、ISO45001：2018标准的要求并结合本公司的具体情况，采取PDCA的过程方法，建立、实施、保持并持续改进质量、环境、职业健康安全管理体系。</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《管理手册》A/</w:t>
            </w:r>
            <w:r>
              <w:rPr>
                <w:rFonts w:hint="eastAsia" w:ascii="宋体" w:hAnsi="宋体" w:cs="Arial"/>
                <w:color w:val="auto"/>
                <w:spacing w:val="-6"/>
                <w:sz w:val="21"/>
                <w:szCs w:val="21"/>
                <w:lang w:val="en-US" w:eastAsia="zh-CN"/>
              </w:rPr>
              <w:t>0</w:t>
            </w:r>
            <w:r>
              <w:rPr>
                <w:rFonts w:hint="eastAsia" w:ascii="宋体" w:hAnsi="宋体" w:cs="Arial"/>
                <w:color w:val="auto"/>
                <w:spacing w:val="-6"/>
                <w:sz w:val="21"/>
                <w:szCs w:val="21"/>
              </w:rPr>
              <w:t xml:space="preserve">    实施日期：2020年11月10日</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保持</w:t>
            </w:r>
            <w:r>
              <w:rPr>
                <w:rFonts w:hint="eastAsia" w:ascii="宋体" w:hAnsi="宋体" w:cs="Arial"/>
                <w:color w:val="auto"/>
                <w:spacing w:val="-6"/>
                <w:sz w:val="21"/>
                <w:szCs w:val="21"/>
              </w:rPr>
              <w:t>程序文件2</w:t>
            </w:r>
            <w:r>
              <w:rPr>
                <w:rFonts w:hint="eastAsia" w:ascii="宋体" w:hAnsi="宋体" w:cs="Arial"/>
                <w:color w:val="auto"/>
                <w:spacing w:val="-6"/>
                <w:sz w:val="21"/>
                <w:szCs w:val="21"/>
                <w:lang w:val="en-US" w:eastAsia="zh-CN"/>
              </w:rPr>
              <w:t>6</w:t>
            </w:r>
            <w:r>
              <w:rPr>
                <w:rFonts w:hint="eastAsia" w:ascii="宋体" w:hAnsi="宋体" w:cs="Arial"/>
                <w:color w:val="auto"/>
                <w:spacing w:val="-6"/>
                <w:sz w:val="21"/>
                <w:szCs w:val="21"/>
              </w:rPr>
              <w:t>个，版本号：A/</w:t>
            </w:r>
            <w:r>
              <w:rPr>
                <w:rFonts w:hint="eastAsia" w:ascii="宋体" w:hAnsi="宋体" w:cs="Arial"/>
                <w:color w:val="auto"/>
                <w:spacing w:val="-6"/>
                <w:sz w:val="21"/>
                <w:szCs w:val="21"/>
                <w:lang w:val="en-US" w:eastAsia="zh-CN"/>
              </w:rPr>
              <w:t>0</w:t>
            </w:r>
            <w:r>
              <w:rPr>
                <w:rFonts w:hint="eastAsia" w:ascii="宋体" w:hAnsi="宋体" w:cs="Arial"/>
                <w:color w:val="auto"/>
                <w:spacing w:val="-6"/>
                <w:sz w:val="21"/>
                <w:szCs w:val="21"/>
              </w:rPr>
              <w:t>；废弃物控制程序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噪声控制程序</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消防控制程序</w:t>
            </w:r>
            <w:r>
              <w:rPr>
                <w:rFonts w:hint="eastAsia" w:ascii="宋体" w:hAnsi="宋体" w:cs="Arial"/>
                <w:color w:val="auto"/>
                <w:spacing w:val="-6"/>
                <w:sz w:val="21"/>
                <w:szCs w:val="21"/>
                <w:lang w:eastAsia="zh-CN"/>
              </w:rPr>
              <w:t>、顾客满意度控制程序、采购控制程序、销售和服务管理控制程序</w:t>
            </w:r>
            <w:r>
              <w:rPr>
                <w:rFonts w:hint="eastAsia" w:ascii="宋体" w:hAnsi="宋体" w:cs="Arial"/>
                <w:color w:val="auto"/>
                <w:spacing w:val="-6"/>
                <w:sz w:val="21"/>
                <w:szCs w:val="21"/>
                <w:lang w:val="en-US" w:eastAsia="zh-CN"/>
              </w:rPr>
              <w:t>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yellow"/>
                <w:lang w:val="en-US" w:eastAsia="zh-CN"/>
              </w:rPr>
            </w:pPr>
            <w:r>
              <w:rPr>
                <w:rFonts w:hint="eastAsia" w:ascii="宋体" w:hAnsi="宋体" w:cs="Arial"/>
                <w:color w:val="auto"/>
                <w:spacing w:val="-6"/>
                <w:sz w:val="21"/>
                <w:szCs w:val="21"/>
                <w:highlight w:val="none"/>
                <w:lang w:val="en-US" w:eastAsia="zh-CN"/>
              </w:rPr>
              <w:t>生产工艺文件、质量检验管理规定、安全生产检查及隐患治理规定、生产现场管理规定、环境保护管理规定、操作规程等；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建立有外来文件清单</w:t>
            </w:r>
            <w:r>
              <w:rPr>
                <w:rFonts w:hint="eastAsia" w:ascii="宋体" w:hAnsi="宋体" w:cs="Arial"/>
                <w:color w:val="auto"/>
                <w:spacing w:val="-6"/>
                <w:sz w:val="21"/>
                <w:szCs w:val="21"/>
                <w:highlight w:val="none"/>
                <w:lang w:val="en-US" w:eastAsia="zh-CN"/>
              </w:rPr>
              <w:t>，收集相关法律法规和产品标准-HG/T2006-2006热固性粉末涂料等；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文件化管理体系目前基本满足要求。</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本公司识别并确定了如下分工及过程：采购过程、</w:t>
            </w:r>
            <w:r>
              <w:rPr>
                <w:rFonts w:hint="eastAsia" w:ascii="宋体" w:hAnsi="宋体" w:cs="Arial"/>
                <w:color w:val="auto"/>
                <w:spacing w:val="-6"/>
                <w:sz w:val="21"/>
                <w:szCs w:val="21"/>
                <w:lang w:val="en-US" w:eastAsia="zh-CN"/>
              </w:rPr>
              <w:t>生产过程、</w:t>
            </w:r>
            <w:r>
              <w:rPr>
                <w:rFonts w:hint="eastAsia" w:ascii="宋体" w:hAnsi="宋体" w:cs="Arial"/>
                <w:color w:val="auto"/>
                <w:spacing w:val="-6"/>
                <w:sz w:val="21"/>
                <w:szCs w:val="21"/>
              </w:rPr>
              <w:t>销售过程、检验与交付过程、绩效分析、评价与改进等多个过程。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lang w:val="en-US" w:eastAsia="zh-CN"/>
              </w:rPr>
              <w:t>业务</w:t>
            </w:r>
            <w:r>
              <w:rPr>
                <w:rFonts w:hint="eastAsia" w:ascii="宋体" w:hAnsi="宋体" w:cs="Arial"/>
                <w:color w:val="auto"/>
                <w:spacing w:val="-6"/>
                <w:sz w:val="21"/>
                <w:szCs w:val="21"/>
                <w:highlight w:val="none"/>
              </w:rPr>
              <w:t>流程如下：</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rPr>
            </w:pPr>
            <w:r>
              <w:rPr>
                <w:rFonts w:hint="eastAsia" w:ascii="宋体" w:hAnsi="宋体" w:cs="Arial"/>
                <w:color w:val="auto"/>
                <w:spacing w:val="-6"/>
                <w:sz w:val="21"/>
                <w:szCs w:val="21"/>
                <w:highlight w:val="none"/>
              </w:rPr>
              <w:t>原材料采购——进货检验——配料——预混合——调色——挤出——粉碎——检验——包装——入库</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管理手册中</w:t>
            </w:r>
            <w:r>
              <w:rPr>
                <w:rFonts w:hint="eastAsia" w:ascii="宋体" w:hAnsi="宋体" w:cs="Arial"/>
                <w:color w:val="auto"/>
                <w:spacing w:val="-6"/>
                <w:sz w:val="21"/>
                <w:szCs w:val="21"/>
                <w:lang w:val="en-US" w:eastAsia="zh-CN"/>
              </w:rPr>
              <w:t>确定</w:t>
            </w:r>
            <w:r>
              <w:rPr>
                <w:rFonts w:hint="eastAsia" w:ascii="宋体" w:hAnsi="宋体" w:cs="Arial"/>
                <w:color w:val="auto"/>
                <w:spacing w:val="-6"/>
                <w:sz w:val="21"/>
                <w:szCs w:val="21"/>
              </w:rPr>
              <w:t>的认证范围：</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cs="Arial"/>
                <w:color w:val="auto"/>
                <w:spacing w:val="-6"/>
                <w:sz w:val="21"/>
                <w:szCs w:val="21"/>
              </w:rPr>
              <w:t>Q：静电粉末的生产及其所涉及的相关管理活动</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E：静电粉末的生产及其所涉及的相关环境管理活动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不适用条款：Q8.3。公司静电粉末的生产及其所涉及的相关管理活动均参照行业标准、企业规范及客户提供的尺寸、工艺要求组织生产，其生产过程不涉及GB/T19001-2016/ISO 9001:2015标准中8.3条款内容，其不适用的要求不影响公司确保其产品和服务合格的能力和责任，对增强顾客满意也不会产生影响。</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管理体系</w:t>
            </w:r>
            <w:r>
              <w:rPr>
                <w:rFonts w:hint="eastAsia" w:ascii="宋体" w:hAnsi="宋体" w:cs="Arial"/>
                <w:color w:val="auto"/>
                <w:spacing w:val="-6"/>
                <w:sz w:val="21"/>
                <w:szCs w:val="21"/>
                <w:lang w:val="en-US" w:eastAsia="zh-CN"/>
              </w:rPr>
              <w:t>建立以来无变更</w:t>
            </w:r>
            <w:r>
              <w:rPr>
                <w:rFonts w:hint="eastAsia" w:ascii="宋体" w:hAnsi="宋体" w:cs="Arial"/>
                <w:color w:val="auto"/>
                <w:spacing w:val="-6"/>
                <w:sz w:val="21"/>
                <w:szCs w:val="21"/>
              </w:rPr>
              <w:t>。</w:t>
            </w:r>
          </w:p>
          <w:p>
            <w:pPr>
              <w:adjustRightInd w:val="0"/>
              <w:snapToGrid w:val="0"/>
              <w:spacing w:line="360" w:lineRule="auto"/>
              <w:ind w:right="105" w:rightChars="50" w:firstLine="396" w:firstLineChars="200"/>
              <w:textAlignment w:val="baseline"/>
              <w:rPr>
                <w:color w:val="auto"/>
                <w:sz w:val="21"/>
                <w:szCs w:val="21"/>
              </w:rPr>
            </w:pPr>
            <w:r>
              <w:rPr>
                <w:rFonts w:hint="eastAsia" w:ascii="宋体" w:hAnsi="宋体" w:cs="Arial"/>
                <w:color w:val="auto"/>
                <w:spacing w:val="-6"/>
                <w:sz w:val="21"/>
                <w:szCs w:val="21"/>
              </w:rPr>
              <w:t>基本合理。</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质量/环境方针</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质量/环境目标及其实现的策划</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w:t>
            </w:r>
            <w:r>
              <w:rPr>
                <w:rFonts w:hint="eastAsia" w:ascii="宋体" w:hAnsi="宋体" w:eastAsia="宋体" w:cs="Arial"/>
                <w:spacing w:val="-6"/>
                <w:sz w:val="21"/>
                <w:szCs w:val="21"/>
              </w:rPr>
              <w:t>6.2</w:t>
            </w:r>
          </w:p>
        </w:tc>
        <w:tc>
          <w:tcPr>
            <w:tcW w:w="10545" w:type="dxa"/>
          </w:tcPr>
          <w:p>
            <w:pPr>
              <w:pStyle w:val="2"/>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《管理手册》中明确了公司的质量、环境方针是：</w:t>
            </w:r>
          </w:p>
          <w:p>
            <w:pPr>
              <w:pStyle w:val="2"/>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1.质量环境职业健康安全方针：</w:t>
            </w:r>
          </w:p>
          <w:p>
            <w:pPr>
              <w:pStyle w:val="2"/>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质量至上、持续创新、诚实守信、顾客至上</w:t>
            </w:r>
          </w:p>
          <w:p>
            <w:pPr>
              <w:pStyle w:val="2"/>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预防为主，降低风险；遵章守法，创造和谐</w:t>
            </w:r>
          </w:p>
          <w:p>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方针适宜于公司现状，在管理手册中明确，通过文件发放，</w:t>
            </w:r>
            <w:r>
              <w:rPr>
                <w:rFonts w:hint="eastAsia" w:cs="Times New Roman"/>
                <w:color w:val="auto"/>
                <w:sz w:val="21"/>
                <w:szCs w:val="21"/>
                <w:lang w:val="en-US" w:eastAsia="zh-CN"/>
              </w:rPr>
              <w:t>使</w:t>
            </w:r>
            <w:r>
              <w:rPr>
                <w:rFonts w:hint="eastAsia" w:ascii="Times New Roman" w:hAnsi="Times New Roman" w:eastAsia="宋体" w:cs="Times New Roman"/>
                <w:color w:val="auto"/>
                <w:sz w:val="21"/>
                <w:szCs w:val="21"/>
                <w:lang w:val="en-US" w:eastAsia="zh-CN"/>
              </w:rPr>
              <w:t>员工获知，适用时提供给相关方。</w:t>
            </w:r>
          </w:p>
          <w:p>
            <w:pPr>
              <w:pStyle w:val="2"/>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lang w:val="en-US" w:eastAsia="zh-CN"/>
              </w:rPr>
              <w:t>并以方针为框架，建立了公司管理目标：</w:t>
            </w:r>
          </w:p>
          <w:p>
            <w:pPr>
              <w:pStyle w:val="2"/>
              <w:ind w:firstLine="420" w:firstLineChars="200"/>
              <w:rPr>
                <w:rFonts w:hint="eastAsia"/>
                <w:sz w:val="21"/>
                <w:szCs w:val="21"/>
              </w:rPr>
            </w:pPr>
            <w:r>
              <w:rPr>
                <w:rFonts w:hint="eastAsia"/>
                <w:sz w:val="21"/>
                <w:szCs w:val="21"/>
              </w:rPr>
              <w:t>2.管理目标：</w:t>
            </w:r>
          </w:p>
          <w:p>
            <w:pPr>
              <w:pStyle w:val="2"/>
              <w:ind w:firstLine="420" w:firstLineChars="200"/>
              <w:rPr>
                <w:rFonts w:hint="eastAsia"/>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质量目标：</w:t>
            </w:r>
          </w:p>
          <w:p>
            <w:pPr>
              <w:pStyle w:val="2"/>
              <w:ind w:firstLine="840" w:firstLineChars="400"/>
              <w:rPr>
                <w:rFonts w:hint="eastAsia"/>
                <w:sz w:val="21"/>
                <w:szCs w:val="21"/>
              </w:rPr>
            </w:pPr>
            <w:r>
              <w:rPr>
                <w:rFonts w:hint="eastAsia"/>
                <w:sz w:val="21"/>
                <w:szCs w:val="21"/>
              </w:rPr>
              <w:t>成品一次交验合格率≥97%；</w:t>
            </w:r>
          </w:p>
          <w:p>
            <w:pPr>
              <w:pStyle w:val="2"/>
              <w:ind w:firstLine="840" w:firstLineChars="400"/>
              <w:rPr>
                <w:rFonts w:hint="eastAsia"/>
                <w:sz w:val="21"/>
                <w:szCs w:val="21"/>
              </w:rPr>
            </w:pPr>
            <w:r>
              <w:rPr>
                <w:rFonts w:hint="eastAsia"/>
                <w:sz w:val="21"/>
                <w:szCs w:val="21"/>
              </w:rPr>
              <w:t>顾客满意度≥95分；</w:t>
            </w:r>
          </w:p>
          <w:p>
            <w:pPr>
              <w:pStyle w:val="2"/>
              <w:ind w:firstLine="420" w:firstLineChars="200"/>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环保安全目标：</w:t>
            </w:r>
          </w:p>
          <w:p>
            <w:pPr>
              <w:pStyle w:val="2"/>
              <w:ind w:firstLine="840" w:firstLineChars="400"/>
              <w:rPr>
                <w:rFonts w:hint="eastAsia"/>
                <w:sz w:val="21"/>
                <w:szCs w:val="21"/>
              </w:rPr>
            </w:pPr>
            <w:r>
              <w:rPr>
                <w:rFonts w:hint="eastAsia"/>
                <w:sz w:val="21"/>
                <w:szCs w:val="21"/>
              </w:rPr>
              <w:t>固废分类处置率100%；</w:t>
            </w:r>
          </w:p>
          <w:p>
            <w:pPr>
              <w:pStyle w:val="2"/>
              <w:ind w:firstLine="840" w:firstLineChars="400"/>
              <w:rPr>
                <w:rFonts w:hint="eastAsia"/>
                <w:sz w:val="21"/>
                <w:szCs w:val="21"/>
              </w:rPr>
            </w:pPr>
            <w:r>
              <w:rPr>
                <w:rFonts w:hint="eastAsia"/>
                <w:sz w:val="21"/>
                <w:szCs w:val="21"/>
              </w:rPr>
              <w:t>噪声\粉尘达标排放；</w:t>
            </w:r>
          </w:p>
          <w:p>
            <w:pPr>
              <w:pStyle w:val="2"/>
              <w:ind w:firstLine="840" w:firstLineChars="400"/>
              <w:rPr>
                <w:rFonts w:hint="eastAsia"/>
                <w:sz w:val="21"/>
                <w:szCs w:val="21"/>
              </w:rPr>
            </w:pPr>
            <w:r>
              <w:rPr>
                <w:rFonts w:hint="eastAsia"/>
                <w:sz w:val="21"/>
                <w:szCs w:val="21"/>
              </w:rPr>
              <w:t>职业病发生率为0；</w:t>
            </w:r>
          </w:p>
          <w:p>
            <w:pPr>
              <w:pStyle w:val="2"/>
              <w:ind w:firstLine="840" w:firstLineChars="400"/>
              <w:rPr>
                <w:rFonts w:hint="eastAsia"/>
                <w:sz w:val="21"/>
                <w:szCs w:val="21"/>
              </w:rPr>
            </w:pPr>
            <w:r>
              <w:rPr>
                <w:rFonts w:hint="eastAsia"/>
                <w:sz w:val="21"/>
                <w:szCs w:val="21"/>
              </w:rPr>
              <w:t>火灾事故为0；</w:t>
            </w:r>
          </w:p>
          <w:p>
            <w:pPr>
              <w:pStyle w:val="2"/>
              <w:ind w:firstLine="840" w:firstLineChars="400"/>
              <w:rPr>
                <w:rFonts w:hint="eastAsia"/>
                <w:sz w:val="21"/>
                <w:szCs w:val="21"/>
                <w:lang w:eastAsia="zh-CN"/>
              </w:rPr>
            </w:pPr>
            <w:r>
              <w:rPr>
                <w:rFonts w:hint="eastAsia"/>
                <w:sz w:val="21"/>
                <w:szCs w:val="21"/>
              </w:rPr>
              <w:t>触电机械伤害事故为0</w:t>
            </w:r>
            <w:r>
              <w:rPr>
                <w:rFonts w:hint="eastAsia"/>
                <w:sz w:val="21"/>
                <w:szCs w:val="21"/>
                <w:lang w:eastAsia="zh-CN"/>
              </w:rPr>
              <w:t>。</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保留有</w:t>
            </w:r>
            <w:r>
              <w:rPr>
                <w:rFonts w:hint="default" w:ascii="Times New Roman" w:hAnsi="Times New Roman" w:eastAsia="宋体" w:cs="Times New Roman"/>
                <w:color w:val="auto"/>
                <w:sz w:val="21"/>
                <w:szCs w:val="21"/>
                <w:lang w:val="en-US" w:eastAsia="zh-CN"/>
              </w:rPr>
              <w:t>公司的环境和安全管理方案和控制措施。基本符合。</w:t>
            </w:r>
          </w:p>
          <w:p>
            <w:pPr>
              <w:spacing w:line="360" w:lineRule="auto"/>
              <w:ind w:firstLine="420" w:firstLineChars="200"/>
              <w:rPr>
                <w:rFonts w:hint="eastAsia" w:ascii="Times New Roman" w:hAnsi="Times New Roman" w:eastAsia="宋体" w:cs="Times New Roman"/>
                <w:color w:val="auto"/>
                <w:sz w:val="21"/>
                <w:szCs w:val="21"/>
              </w:rPr>
            </w:pPr>
            <w:r>
              <w:rPr>
                <w:rFonts w:hint="eastAsia"/>
                <w:sz w:val="21"/>
                <w:szCs w:val="21"/>
                <w:lang w:val="en-US" w:eastAsia="zh-CN"/>
              </w:rPr>
              <w:t>通过“</w:t>
            </w:r>
            <w:r>
              <w:rPr>
                <w:rFonts w:hint="default"/>
                <w:sz w:val="21"/>
                <w:szCs w:val="21"/>
                <w:lang w:val="en-US" w:eastAsia="zh-CN"/>
              </w:rPr>
              <w:t>质量\环境\职业健康安全目标分解考核表</w:t>
            </w:r>
            <w:r>
              <w:rPr>
                <w:rFonts w:hint="eastAsia"/>
                <w:sz w:val="21"/>
                <w:szCs w:val="21"/>
                <w:lang w:val="en-US" w:eastAsia="zh-CN"/>
              </w:rPr>
              <w:t>”，对目标进行分解到各部门，并进行考核；</w:t>
            </w:r>
          </w:p>
          <w:p>
            <w:pPr>
              <w:spacing w:line="360" w:lineRule="auto"/>
              <w:ind w:firstLine="396" w:firstLineChars="200"/>
              <w:rPr>
                <w:rFonts w:hint="eastAsia"/>
                <w:color w:val="auto"/>
                <w:sz w:val="21"/>
                <w:szCs w:val="21"/>
              </w:rPr>
            </w:pPr>
            <w:r>
              <w:rPr>
                <w:rFonts w:hint="eastAsia" w:ascii="宋体" w:hAnsi="宋体" w:cs="Arial"/>
                <w:color w:val="auto"/>
                <w:spacing w:val="-6"/>
                <w:sz w:val="21"/>
                <w:szCs w:val="21"/>
                <w:lang w:val="en-US" w:eastAsia="zh-CN"/>
              </w:rPr>
              <w:t>保留“</w:t>
            </w:r>
            <w:r>
              <w:rPr>
                <w:rFonts w:hint="default" w:ascii="宋体" w:hAnsi="宋体" w:cs="Arial"/>
                <w:color w:val="auto"/>
                <w:spacing w:val="-6"/>
                <w:sz w:val="21"/>
                <w:szCs w:val="21"/>
                <w:lang w:val="en-US" w:eastAsia="zh-CN"/>
              </w:rPr>
              <w:t>质量\环境\职业健康安全目标分解考核表</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对管理目标</w:t>
            </w:r>
            <w:r>
              <w:rPr>
                <w:rFonts w:hint="eastAsia" w:ascii="宋体" w:hAnsi="宋体" w:cs="Arial"/>
                <w:color w:val="auto"/>
                <w:spacing w:val="-6"/>
                <w:sz w:val="21"/>
                <w:szCs w:val="21"/>
                <w:lang w:val="en-US" w:eastAsia="zh-CN"/>
              </w:rPr>
              <w:t>按照部门</w:t>
            </w:r>
            <w:r>
              <w:rPr>
                <w:rFonts w:hint="default" w:ascii="宋体" w:hAnsi="宋体" w:cs="Arial"/>
                <w:color w:val="auto"/>
                <w:spacing w:val="-6"/>
                <w:sz w:val="21"/>
                <w:szCs w:val="21"/>
                <w:lang w:val="en-US" w:eastAsia="zh-CN"/>
              </w:rPr>
              <w:t>进行了分解</w:t>
            </w:r>
            <w:r>
              <w:rPr>
                <w:rFonts w:hint="eastAsia" w:ascii="宋体" w:hAnsi="宋体" w:cs="Arial"/>
                <w:color w:val="auto"/>
                <w:spacing w:val="-6"/>
                <w:sz w:val="21"/>
                <w:szCs w:val="21"/>
                <w:lang w:val="en-US" w:eastAsia="zh-CN"/>
              </w:rPr>
              <w:t>；</w:t>
            </w:r>
            <w:r>
              <w:rPr>
                <w:rFonts w:hint="default" w:ascii="宋体" w:hAnsi="宋体" w:cs="Arial"/>
                <w:color w:val="auto"/>
                <w:spacing w:val="-6"/>
                <w:sz w:val="21"/>
                <w:szCs w:val="21"/>
                <w:lang w:val="en-US" w:eastAsia="zh-CN"/>
              </w:rPr>
              <w:t>202</w:t>
            </w:r>
            <w:r>
              <w:rPr>
                <w:rFonts w:hint="eastAsia" w:ascii="宋体" w:hAnsi="宋体" w:cs="Arial"/>
                <w:color w:val="auto"/>
                <w:spacing w:val="-6"/>
                <w:sz w:val="21"/>
                <w:szCs w:val="21"/>
                <w:lang w:val="en-US" w:eastAsia="zh-CN"/>
              </w:rPr>
              <w:t>2</w:t>
            </w:r>
            <w:r>
              <w:rPr>
                <w:rFonts w:hint="default" w:ascii="宋体" w:hAnsi="宋体" w:cs="Arial"/>
                <w:color w:val="auto"/>
                <w:spacing w:val="-6"/>
                <w:sz w:val="21"/>
                <w:szCs w:val="21"/>
                <w:lang w:val="en-US" w:eastAsia="zh-CN"/>
              </w:rPr>
              <w:t>年</w:t>
            </w:r>
            <w:r>
              <w:rPr>
                <w:rFonts w:hint="eastAsia" w:ascii="宋体" w:hAnsi="宋体" w:cs="Arial"/>
                <w:color w:val="auto"/>
                <w:spacing w:val="-6"/>
                <w:sz w:val="21"/>
                <w:szCs w:val="21"/>
                <w:lang w:val="en-US" w:eastAsia="zh-CN"/>
              </w:rPr>
              <w:t>一季度</w:t>
            </w:r>
            <w:r>
              <w:rPr>
                <w:rFonts w:hint="default" w:ascii="宋体" w:hAnsi="宋体" w:cs="Arial"/>
                <w:color w:val="auto"/>
                <w:spacing w:val="-6"/>
                <w:sz w:val="21"/>
                <w:szCs w:val="21"/>
                <w:lang w:val="en-US" w:eastAsia="zh-CN"/>
              </w:rPr>
              <w:t>考核，显示目标均已全部完成。</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组织的岗位、职责和权限</w:t>
            </w:r>
          </w:p>
        </w:tc>
        <w:tc>
          <w:tcPr>
            <w:tcW w:w="1175"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QE:5.1</w:t>
            </w:r>
          </w:p>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5.3</w:t>
            </w:r>
          </w:p>
        </w:tc>
        <w:tc>
          <w:tcPr>
            <w:tcW w:w="10545" w:type="dxa"/>
          </w:tcPr>
          <w:p>
            <w:pPr>
              <w:spacing w:line="360" w:lineRule="auto"/>
              <w:ind w:firstLine="396" w:firstLineChars="200"/>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最高管理者在管理手册中明确了各部门和各岗位的职责和权限，以确保管理体系符合各项标准的要求，并确保各个过程获得其预期输出。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lang w:val="en-US" w:eastAsia="zh-CN"/>
              </w:rPr>
              <w:t>经授权的分管领导</w:t>
            </w:r>
            <w:r>
              <w:rPr>
                <w:rFonts w:hint="eastAsia" w:ascii="宋体" w:hAnsi="宋体" w:cs="Arial"/>
                <w:color w:val="auto"/>
                <w:spacing w:val="-6"/>
                <w:sz w:val="21"/>
                <w:szCs w:val="21"/>
              </w:rPr>
              <w:t>向最高管理者报告质量、环境管理体系的绩效及改进机会，确保整个组织推动以顾客为关注焦点</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lang w:val="en-US" w:eastAsia="zh-CN"/>
              </w:rPr>
              <w:t>保持环境管理绩效</w:t>
            </w:r>
            <w:r>
              <w:rPr>
                <w:rFonts w:hint="eastAsia" w:ascii="宋体" w:hAnsi="宋体" w:cs="Arial"/>
                <w:color w:val="auto"/>
                <w:spacing w:val="-6"/>
                <w:sz w:val="21"/>
                <w:szCs w:val="21"/>
              </w:rPr>
              <w:t>，确保在策划和实施管理体系变更时保持其完整性。</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公司设置有办公室、生产部、供销部。</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rPr>
            </w:pPr>
            <w:r>
              <w:rPr>
                <w:rFonts w:hint="eastAsia" w:ascii="宋体" w:hAnsi="宋体" w:cs="Arial"/>
                <w:color w:val="auto"/>
                <w:spacing w:val="-6"/>
                <w:sz w:val="21"/>
                <w:szCs w:val="21"/>
              </w:rPr>
              <w:t>经查每个部门均有部门职责和权限，各岗位的职责和权限、任职要求在《</w:t>
            </w:r>
            <w:r>
              <w:rPr>
                <w:rFonts w:hint="eastAsia" w:ascii="宋体" w:hAnsi="宋体" w:cs="Arial"/>
                <w:color w:val="auto"/>
                <w:spacing w:val="-6"/>
                <w:sz w:val="21"/>
                <w:szCs w:val="21"/>
                <w:lang w:val="en-US" w:eastAsia="zh-CN"/>
              </w:rPr>
              <w:t>管理手册</w:t>
            </w:r>
            <w:r>
              <w:rPr>
                <w:rFonts w:hint="eastAsia" w:ascii="宋体" w:hAnsi="宋体" w:cs="Arial"/>
                <w:color w:val="auto"/>
                <w:spacing w:val="-6"/>
                <w:sz w:val="21"/>
                <w:szCs w:val="21"/>
              </w:rPr>
              <w:t>》中得到规定。</w:t>
            </w:r>
          </w:p>
          <w:p>
            <w:pPr>
              <w:adjustRightInd w:val="0"/>
              <w:snapToGrid w:val="0"/>
              <w:spacing w:line="360" w:lineRule="auto"/>
              <w:ind w:right="105" w:rightChars="50" w:firstLine="396" w:firstLineChars="200"/>
              <w:textAlignment w:val="baseline"/>
              <w:rPr>
                <w:color w:val="auto"/>
                <w:sz w:val="21"/>
                <w:szCs w:val="21"/>
              </w:rPr>
            </w:pPr>
            <w:r>
              <w:rPr>
                <w:rFonts w:hint="eastAsia" w:ascii="宋体" w:hAnsi="宋体" w:cs="Arial"/>
                <w:color w:val="auto"/>
                <w:spacing w:val="-6"/>
                <w:sz w:val="21"/>
                <w:szCs w:val="21"/>
              </w:rPr>
              <w:t>经查问组织内的职责和权限基本得到沟通，通过文件发布、传达、会议、培训等了解有关职责和权限。同总经理交谈，对于自身职责权限比较清楚。</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资源</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E</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545"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江西锐克斯科技有限公司成立于2000年5月，注册资金600万元，厂区总面积23124平方米，生产车间建筑面积3036平方米，一层综合办公楼建筑面积1000平方米，现有职工20余人。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主要设备有小样机、搅拌机、双螺杆挤出机、风冷覆带式压片破碎机、立式磨粉机等；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主要检测设备包括：涂层测厚仪、电子台称、光泽仪等；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highlight w:val="none"/>
                <w:lang w:val="en-US" w:eastAsia="zh-CN"/>
              </w:rPr>
              <w:t>安全环保设施包括有灭火器、除尘装置、循环水冷却塔、个体防</w:t>
            </w:r>
            <w:r>
              <w:rPr>
                <w:rFonts w:hint="eastAsia" w:ascii="宋体" w:hAnsi="宋体" w:cs="Arial"/>
                <w:color w:val="auto"/>
                <w:spacing w:val="-6"/>
                <w:sz w:val="21"/>
                <w:szCs w:val="21"/>
                <w:lang w:val="en-US" w:eastAsia="zh-CN"/>
              </w:rPr>
              <w:t>护用品、垃圾桶等；</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确认公司目前人力资源、基础设施、销售人员、财力、信息等资源均能保证。公司</w:t>
            </w:r>
            <w:r>
              <w:rPr>
                <w:rFonts w:hint="eastAsia" w:ascii="宋体" w:hAnsi="宋体" w:cs="Arial"/>
                <w:color w:val="auto"/>
                <w:spacing w:val="-6"/>
                <w:sz w:val="21"/>
                <w:szCs w:val="21"/>
                <w:lang w:val="en-US" w:eastAsia="zh-CN"/>
              </w:rPr>
              <w:t>办公区域等</w:t>
            </w:r>
            <w:r>
              <w:rPr>
                <w:rFonts w:hint="default" w:ascii="宋体" w:hAnsi="宋体" w:cs="Arial"/>
                <w:color w:val="auto"/>
                <w:spacing w:val="-6"/>
                <w:sz w:val="21"/>
                <w:szCs w:val="21"/>
                <w:lang w:val="en-US" w:eastAsia="zh-CN"/>
              </w:rPr>
              <w:t>现场配备了灭火器等消防安全设备，能保证企业正常办公。</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公司财务能保证质量、环境、职业健康安全工作的开展，确保相关资金及时投入。</w:t>
            </w:r>
          </w:p>
          <w:p>
            <w:pPr>
              <w:adjustRightInd w:val="0"/>
              <w:snapToGrid w:val="0"/>
              <w:spacing w:line="360" w:lineRule="auto"/>
              <w:ind w:right="105" w:rightChars="50" w:firstLine="396" w:firstLineChars="200"/>
              <w:textAlignment w:val="baseline"/>
              <w:rPr>
                <w:rFonts w:hint="default" w:eastAsia="宋体"/>
                <w:color w:val="auto"/>
                <w:sz w:val="21"/>
                <w:szCs w:val="21"/>
                <w:lang w:val="en-US" w:eastAsia="zh-CN"/>
              </w:rPr>
            </w:pPr>
            <w:r>
              <w:rPr>
                <w:rFonts w:hint="default" w:ascii="宋体" w:hAnsi="宋体" w:cs="Arial"/>
                <w:color w:val="auto"/>
                <w:spacing w:val="-6"/>
                <w:sz w:val="21"/>
                <w:szCs w:val="21"/>
                <w:lang w:val="en-US" w:eastAsia="zh-CN"/>
              </w:rPr>
              <w:t>基本能满足体系运行的要求。</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信息交流</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545" w:type="dxa"/>
          </w:tcPr>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组织在各部门之间建立了与体系有关的信息通渠沟道，借助于会议、电话、微信、网络、口头交流等方式使全体员工达到沟通和理解。目前各部门协调一致，工作上的接口基本理顺。</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总经理定期主持经营办公例会，分析公司的发展、市场情况和体系运行是否有效，管理目标完成情况，满足顾客要求和法规程度，改进建议等内部管理存在问题等。</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总经理为协商、参与提供了时间、机会、培训、资源等保障，明确了沟通、协商、参与渠道，消除了障碍和壁垒。</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代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日常对于质量、环保、安全方面的信息主要利用会议、培训、座谈、电话、网络、收文等方式进行内外部沟通和协商。</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经交流：目前与环保、劳动、消防、安监部门的外部信息交流主要是参加会议、接收来文、电话、邮件等，均按要求予以传达和落实，沟通情况较好。</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相关人员能够适当参与并协商办理公司经营管理及安全事务等工作。</w:t>
            </w:r>
          </w:p>
          <w:p>
            <w:pPr>
              <w:adjustRightInd w:val="0"/>
              <w:snapToGrid w:val="0"/>
              <w:spacing w:line="360" w:lineRule="auto"/>
              <w:ind w:right="105" w:rightChars="50" w:firstLine="396" w:firstLineChars="200"/>
              <w:textAlignment w:val="baseline"/>
              <w:rPr>
                <w:color w:val="auto"/>
                <w:sz w:val="21"/>
                <w:szCs w:val="21"/>
              </w:rPr>
            </w:pPr>
            <w:r>
              <w:rPr>
                <w:rFonts w:hint="eastAsia" w:ascii="宋体" w:hAnsi="宋体" w:eastAsia="宋体" w:cs="Arial"/>
                <w:color w:val="auto"/>
                <w:spacing w:val="-6"/>
                <w:sz w:val="21"/>
                <w:szCs w:val="21"/>
                <w:highlight w:val="none"/>
                <w:lang w:val="en-US" w:eastAsia="zh-CN"/>
              </w:rPr>
              <w:t>现有的沟通渠道和方法能满足要求。</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管理评审</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w:t>
            </w:r>
            <w:r>
              <w:rPr>
                <w:rFonts w:hint="eastAsia" w:ascii="宋体" w:hAnsi="宋体" w:eastAsia="宋体" w:cs="Arial"/>
                <w:spacing w:val="-6"/>
                <w:sz w:val="21"/>
                <w:szCs w:val="21"/>
              </w:rPr>
              <w:t>9.3</w:t>
            </w:r>
          </w:p>
        </w:tc>
        <w:tc>
          <w:tcPr>
            <w:tcW w:w="10545" w:type="dxa"/>
          </w:tcPr>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202</w:t>
            </w:r>
            <w:r>
              <w:rPr>
                <w:rFonts w:hint="eastAsia" w:ascii="宋体" w:hAnsi="宋体" w:cs="Arial"/>
                <w:color w:val="auto"/>
                <w:spacing w:val="-6"/>
                <w:sz w:val="21"/>
                <w:szCs w:val="21"/>
                <w:highlight w:val="none"/>
                <w:lang w:val="en-US" w:eastAsia="zh-CN"/>
              </w:rPr>
              <w:t>2</w:t>
            </w:r>
            <w:r>
              <w:rPr>
                <w:rFonts w:hint="eastAsia" w:ascii="宋体" w:hAnsi="宋体" w:eastAsia="宋体" w:cs="Arial"/>
                <w:color w:val="auto"/>
                <w:spacing w:val="-6"/>
                <w:sz w:val="21"/>
                <w:szCs w:val="21"/>
                <w:highlight w:val="none"/>
                <w:lang w:val="en-US" w:eastAsia="zh-CN"/>
              </w:rPr>
              <w:t>年3月</w:t>
            </w:r>
            <w:r>
              <w:rPr>
                <w:rFonts w:hint="eastAsia" w:ascii="宋体" w:hAnsi="宋体" w:cs="Arial"/>
                <w:color w:val="auto"/>
                <w:spacing w:val="-6"/>
                <w:sz w:val="21"/>
                <w:szCs w:val="21"/>
                <w:highlight w:val="none"/>
                <w:lang w:val="en-US" w:eastAsia="zh-CN"/>
              </w:rPr>
              <w:t>7</w:t>
            </w:r>
            <w:r>
              <w:rPr>
                <w:rFonts w:hint="eastAsia" w:ascii="宋体" w:hAnsi="宋体" w:eastAsia="宋体" w:cs="Arial"/>
                <w:color w:val="auto"/>
                <w:spacing w:val="-6"/>
                <w:sz w:val="21"/>
                <w:szCs w:val="21"/>
                <w:highlight w:val="none"/>
                <w:lang w:val="en-US" w:eastAsia="zh-CN"/>
              </w:rPr>
              <w:t>日在会议室</w:t>
            </w:r>
            <w:r>
              <w:rPr>
                <w:rFonts w:hint="eastAsia" w:ascii="宋体" w:hAnsi="宋体" w:cs="Arial"/>
                <w:color w:val="auto"/>
                <w:spacing w:val="-6"/>
                <w:sz w:val="21"/>
                <w:szCs w:val="21"/>
                <w:highlight w:val="none"/>
                <w:lang w:val="en-US" w:eastAsia="zh-CN"/>
              </w:rPr>
              <w:t>总经理聂建春</w:t>
            </w:r>
            <w:r>
              <w:rPr>
                <w:rFonts w:hint="eastAsia" w:ascii="宋体" w:hAnsi="宋体" w:eastAsia="宋体" w:cs="Arial"/>
                <w:color w:val="auto"/>
                <w:spacing w:val="-6"/>
                <w:sz w:val="21"/>
                <w:szCs w:val="21"/>
                <w:highlight w:val="none"/>
                <w:lang w:val="en-US" w:eastAsia="zh-CN"/>
              </w:rPr>
              <w:t>主持了管理评审。保留有管理评审计划、管理评审会议通知、评审记录、评审报告和改进措施计划等；</w:t>
            </w:r>
          </w:p>
          <w:p>
            <w:pPr>
              <w:adjustRightInd w:val="0"/>
              <w:snapToGrid w:val="0"/>
              <w:spacing w:line="360" w:lineRule="auto"/>
              <w:ind w:right="105" w:rightChars="50" w:firstLine="372"/>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管理评审输入满足要求；</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管理评审结论：经评审认为本公司的质量管理体系的建立和运行是充分的、适宜的、有效的。</w:t>
            </w:r>
          </w:p>
          <w:p>
            <w:pPr>
              <w:adjustRightInd w:val="0"/>
              <w:snapToGrid w:val="0"/>
              <w:spacing w:line="360" w:lineRule="auto"/>
              <w:ind w:right="105" w:rightChars="50" w:firstLine="372"/>
              <w:textAlignment w:val="baseline"/>
              <w:rPr>
                <w:rFonts w:hint="eastAsia" w:ascii="宋体" w:hAnsi="宋体" w:eastAsia="宋体" w:cs="Arial"/>
                <w:spacing w:val="-6"/>
                <w:sz w:val="21"/>
                <w:szCs w:val="21"/>
                <w:highlight w:val="none"/>
                <w:lang w:val="en-US" w:eastAsia="zh-CN"/>
              </w:rPr>
            </w:pPr>
            <w:r>
              <w:rPr>
                <w:rFonts w:hint="eastAsia" w:ascii="宋体" w:hAnsi="宋体" w:cs="Arial"/>
                <w:spacing w:val="-6"/>
                <w:sz w:val="21"/>
                <w:szCs w:val="21"/>
                <w:highlight w:val="none"/>
                <w:lang w:val="en-US" w:eastAsia="zh-CN"/>
              </w:rPr>
              <w:t>改进措施建议：有2项，主要是节能降耗，减少生产车间和办公区域资源能源和办公器材消耗量</w:t>
            </w:r>
            <w:r>
              <w:rPr>
                <w:rFonts w:hint="default" w:ascii="宋体" w:hAnsi="宋体" w:cs="Arial"/>
                <w:spacing w:val="-6"/>
                <w:sz w:val="21"/>
                <w:szCs w:val="21"/>
                <w:highlight w:val="none"/>
                <w:lang w:val="en-US" w:eastAsia="zh-CN"/>
              </w:rPr>
              <w:t>；</w:t>
            </w:r>
            <w:r>
              <w:rPr>
                <w:rFonts w:hint="eastAsia" w:ascii="宋体" w:hAnsi="宋体"/>
                <w:color w:val="000000"/>
                <w:sz w:val="21"/>
                <w:szCs w:val="21"/>
              </w:rPr>
              <w:t>进一步组织对相关的法律、法规、规程和规范的学习，以增强广大技术人员的质量意识环境保护意识</w:t>
            </w:r>
            <w:r>
              <w:rPr>
                <w:rFonts w:hint="eastAsia" w:ascii="宋体" w:hAnsi="宋体"/>
                <w:color w:val="000000"/>
                <w:sz w:val="21"/>
                <w:szCs w:val="21"/>
                <w:lang w:eastAsia="zh-CN"/>
              </w:rPr>
              <w:t>。</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制定有“管理评审改进措施计划”。</w:t>
            </w:r>
          </w:p>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cs="Arial"/>
                <w:spacing w:val="-6"/>
                <w:sz w:val="21"/>
                <w:szCs w:val="21"/>
                <w:highlight w:val="none"/>
                <w:lang w:val="en-US" w:eastAsia="zh-CN"/>
              </w:rPr>
              <w:t>基本符合要求。</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持续改进</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w:t>
            </w:r>
            <w:r>
              <w:rPr>
                <w:rFonts w:hint="eastAsia" w:ascii="宋体" w:hAnsi="宋体" w:eastAsia="宋体" w:cs="Arial"/>
                <w:spacing w:val="-6"/>
                <w:sz w:val="21"/>
                <w:szCs w:val="21"/>
              </w:rPr>
              <w:t>10.1</w:t>
            </w:r>
          </w:p>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rPr>
              <w:t>10.3</w:t>
            </w:r>
          </w:p>
        </w:tc>
        <w:tc>
          <w:tcPr>
            <w:tcW w:w="10545" w:type="dxa"/>
          </w:tcPr>
          <w:p>
            <w:pPr>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管理者代表根据总经理意图组织持续改进过程的策划工作，由</w:t>
            </w:r>
            <w:r>
              <w:rPr>
                <w:rFonts w:hint="eastAsia" w:ascii="宋体" w:hAnsi="宋体" w:cs="Arial"/>
                <w:color w:val="auto"/>
                <w:spacing w:val="-6"/>
                <w:sz w:val="21"/>
                <w:szCs w:val="21"/>
                <w:highlight w:val="none"/>
                <w:lang w:val="en-US" w:eastAsia="zh-CN"/>
              </w:rPr>
              <w:t>办公室</w:t>
            </w:r>
            <w:r>
              <w:rPr>
                <w:rFonts w:hint="eastAsia" w:ascii="宋体" w:hAnsi="宋体" w:eastAsia="宋体" w:cs="Arial"/>
                <w:color w:val="auto"/>
                <w:spacing w:val="-6"/>
                <w:sz w:val="21"/>
                <w:szCs w:val="21"/>
                <w:highlight w:val="none"/>
                <w:lang w:val="en-US" w:eastAsia="zh-CN"/>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上次审核不符合项的验证</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545" w:type="dxa"/>
            <w:vAlign w:val="center"/>
          </w:tcPr>
          <w:p>
            <w:pPr>
              <w:spacing w:line="360" w:lineRule="auto"/>
              <w:ind w:firstLine="420"/>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上次</w:t>
            </w:r>
            <w:r>
              <w:rPr>
                <w:rFonts w:hint="eastAsia" w:ascii="宋体" w:hAnsi="宋体" w:eastAsia="宋体" w:cs="Arial"/>
                <w:spacing w:val="-6"/>
                <w:sz w:val="21"/>
                <w:szCs w:val="21"/>
              </w:rPr>
              <w:t>审核</w:t>
            </w:r>
            <w:r>
              <w:rPr>
                <w:rFonts w:hint="eastAsia" w:cs="Times New Roman"/>
                <w:color w:val="auto"/>
                <w:sz w:val="21"/>
                <w:szCs w:val="21"/>
                <w:lang w:val="en-US" w:eastAsia="zh-CN"/>
              </w:rPr>
              <w:t>未开具不符合项</w:t>
            </w:r>
            <w:r>
              <w:rPr>
                <w:rFonts w:hint="eastAsia" w:ascii="Times New Roman" w:hAnsi="Times New Roman" w:eastAsia="宋体" w:cs="Times New Roman"/>
                <w:color w:val="auto"/>
                <w:sz w:val="21"/>
                <w:szCs w:val="21"/>
                <w:lang w:val="en-US" w:eastAsia="zh-CN"/>
              </w:rPr>
              <w:t>。</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验证企业相关资质证明的有效性</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545" w:type="dxa"/>
            <w:vAlign w:val="center"/>
          </w:tcPr>
          <w:p>
            <w:pPr>
              <w:spacing w:line="360" w:lineRule="auto"/>
              <w:ind w:firstLine="420"/>
              <w:rPr>
                <w:rFonts w:hint="default" w:ascii="Times New Roman" w:hAnsi="Times New Roman" w:eastAsia="宋体" w:cs="Times New Roman"/>
                <w:color w:val="auto"/>
                <w:sz w:val="21"/>
                <w:szCs w:val="21"/>
                <w:lang w:val="en-US" w:eastAsia="zh-CN"/>
              </w:rPr>
            </w:pPr>
            <w:r>
              <w:rPr>
                <w:rFonts w:hint="eastAsia" w:ascii="宋体" w:hAnsi="宋体" w:eastAsia="宋体" w:cs="Arial"/>
                <w:color w:val="auto"/>
                <w:spacing w:val="-6"/>
                <w:sz w:val="21"/>
                <w:szCs w:val="21"/>
              </w:rPr>
              <w:t>国家企业信用信息公示系统</w:t>
            </w:r>
            <w:r>
              <w:rPr>
                <w:rFonts w:hint="eastAsia" w:ascii="宋体" w:hAnsi="宋体" w:eastAsia="宋体" w:cs="Arial"/>
                <w:color w:val="auto"/>
                <w:spacing w:val="-6"/>
                <w:sz w:val="21"/>
                <w:szCs w:val="21"/>
                <w:lang w:val="en-US" w:eastAsia="zh-CN"/>
              </w:rPr>
              <w:t>查询结果：营业执照续存，无风险警示。</w:t>
            </w:r>
            <w:r>
              <w:rPr>
                <w:rFonts w:hint="eastAsia" w:ascii="宋体" w:hAnsi="宋体" w:cs="Arial"/>
                <w:color w:val="auto"/>
                <w:spacing w:val="-6"/>
                <w:sz w:val="21"/>
                <w:szCs w:val="21"/>
                <w:lang w:val="en-US" w:eastAsia="zh-CN"/>
              </w:rPr>
              <w:t>查见</w:t>
            </w:r>
            <w:r>
              <w:rPr>
                <w:rFonts w:hint="eastAsia" w:ascii="宋体" w:hAnsi="宋体" w:eastAsia="宋体" w:cs="Arial"/>
                <w:color w:val="auto"/>
                <w:spacing w:val="-6"/>
                <w:sz w:val="21"/>
                <w:szCs w:val="21"/>
                <w:lang w:val="en-US" w:eastAsia="zh-CN"/>
              </w:rPr>
              <w:t>营业执照，有效。</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rPr>
              <w:t>国家/地方监督抽查情况</w:t>
            </w:r>
          </w:p>
        </w:tc>
        <w:tc>
          <w:tcPr>
            <w:tcW w:w="1175"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p>
        </w:tc>
        <w:tc>
          <w:tcPr>
            <w:tcW w:w="10545" w:type="dxa"/>
            <w:vAlign w:val="center"/>
          </w:tcPr>
          <w:p>
            <w:pPr>
              <w:spacing w:line="360" w:lineRule="auto"/>
              <w:ind w:firstLine="42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顾客满意：通过发放顾客满意度调查进行监测，2022年1月12日-- 2022年1月15日，发放调查表</w:t>
            </w:r>
            <w:r>
              <w:rPr>
                <w:rFonts w:hint="eastAsia" w:cs="Times New Roman"/>
                <w:color w:val="auto"/>
                <w:sz w:val="21"/>
                <w:szCs w:val="21"/>
                <w:lang w:val="en-US" w:eastAsia="zh-CN"/>
              </w:rPr>
              <w:t>4</w:t>
            </w:r>
            <w:r>
              <w:rPr>
                <w:rFonts w:hint="eastAsia" w:ascii="Times New Roman" w:hAnsi="Times New Roman" w:eastAsia="宋体" w:cs="Times New Roman"/>
                <w:color w:val="auto"/>
                <w:sz w:val="21"/>
                <w:szCs w:val="21"/>
                <w:lang w:val="en-US" w:eastAsia="zh-CN"/>
              </w:rPr>
              <w:t>份，经统计分析，顾客满意度为97</w:t>
            </w:r>
            <w:r>
              <w:rPr>
                <w:rFonts w:hint="eastAsia" w:cs="Times New Roman"/>
                <w:color w:val="auto"/>
                <w:sz w:val="21"/>
                <w:szCs w:val="21"/>
                <w:lang w:val="en-US" w:eastAsia="zh-CN"/>
              </w:rPr>
              <w:t>.75</w:t>
            </w:r>
            <w:r>
              <w:rPr>
                <w:rFonts w:hint="eastAsia" w:ascii="Times New Roman" w:hAnsi="Times New Roman" w:eastAsia="宋体" w:cs="Times New Roman"/>
                <w:color w:val="auto"/>
                <w:sz w:val="21"/>
                <w:szCs w:val="21"/>
                <w:lang w:val="en-US" w:eastAsia="zh-CN"/>
              </w:rPr>
              <w:t>分。</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自公司成立以来，行业主管部门和政府有关单位对公司进行检查时提出的小问题都能及时整改；目前没有相关行政主管部门的检查，在审核现场也未发现抽查、相关方投诉等情况。</w:t>
            </w:r>
          </w:p>
          <w:p>
            <w:pPr>
              <w:adjustRightInd w:val="0"/>
              <w:snapToGrid w:val="0"/>
              <w:spacing w:line="360" w:lineRule="auto"/>
              <w:ind w:right="105"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本周期未受到上级主管部门有关质量、环境、职业健康安全的行政处罚，未发生相关方的投诉。</w:t>
            </w:r>
          </w:p>
          <w:p>
            <w:pPr>
              <w:spacing w:line="360" w:lineRule="auto"/>
              <w:ind w:firstLine="42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暂时没有国家/地方抽查情况。</w:t>
            </w:r>
          </w:p>
        </w:tc>
        <w:tc>
          <w:tcPr>
            <w:tcW w:w="1044" w:type="dxa"/>
          </w:tcPr>
          <w:p>
            <w:pPr>
              <w:spacing w:line="360" w:lineRule="auto"/>
              <w:rPr>
                <w:rFonts w:hint="eastAsia" w:eastAsia="宋体"/>
                <w:sz w:val="21"/>
                <w:szCs w:val="21"/>
                <w:lang w:val="en-US" w:eastAsia="zh-CN"/>
              </w:rPr>
            </w:pPr>
            <w:r>
              <w:rPr>
                <w:rFonts w:hint="eastAsia"/>
                <w:sz w:val="21"/>
                <w:szCs w:val="21"/>
                <w:lang w:val="en-US" w:eastAsia="zh-CN"/>
              </w:rPr>
              <w:t>符合</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5" name="文本框 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CQfhE2AAAAAsBAAAP&#10;AAAAAAAAAAEAIAAAACIAAABkcnMvZG93bnJldi54bWxQSwECFAAUAAAACACHTuJAoir6daYBAAAp&#10;AwAADgAAAAAAAAABACAAAAAnAQAAZHJzL2Uyb0RvYy54bWxQSwUGAAAAAAYABgBZAQAAPw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A4FAD"/>
    <w:rsid w:val="0A2F2AEB"/>
    <w:rsid w:val="16883B0C"/>
    <w:rsid w:val="176212E5"/>
    <w:rsid w:val="1F965284"/>
    <w:rsid w:val="29A82042"/>
    <w:rsid w:val="2C7B2710"/>
    <w:rsid w:val="36221AE5"/>
    <w:rsid w:val="40BA733C"/>
    <w:rsid w:val="412C6AF2"/>
    <w:rsid w:val="43592B68"/>
    <w:rsid w:val="446059FD"/>
    <w:rsid w:val="4EB11A91"/>
    <w:rsid w:val="5E992A4C"/>
    <w:rsid w:val="60994920"/>
    <w:rsid w:val="66281A29"/>
    <w:rsid w:val="68111886"/>
    <w:rsid w:val="6A0103AE"/>
    <w:rsid w:val="6DDA7EB7"/>
    <w:rsid w:val="73D04D33"/>
    <w:rsid w:val="79AC08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2022-05-03T23:28:21Z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C20C6B9614064A5D8F28AD39CB804F3C</vt:lpwstr>
  </property>
</Properties>
</file>