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西安科信电气保护系统有限公司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 徐昕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、孟毓强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郭力、</w:t>
            </w:r>
            <w:r>
              <w:rPr>
                <w:rFonts w:hint="eastAsia"/>
                <w:color w:val="000000"/>
                <w:sz w:val="24"/>
                <w:szCs w:val="24"/>
              </w:rPr>
              <w:t>赵亚亚，牛小英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2022年03月19日 上午至2022年03月19日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：91610132MA6UQM701T </w:t>
            </w:r>
            <w:r>
              <w:rPr>
                <w:rFonts w:hint="eastAsia"/>
                <w:color w:val="000000"/>
                <w:szCs w:val="21"/>
              </w:rPr>
              <w:t>； 有效期：2018-02-06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：熔断器及配件、开关及配件、电力电子元器件、电气成套设备及配件、绝缘材料及配件、汽车配件的技术研发、制造及销售；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认证申请范围：户内高压限流熔断器系列产品（3.6KV-40.5KV)的设计、开发和生产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注册地址：西安经济技术开发区草滩生态产业园草滩十路1155号智巢产业园9栋4F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经营地址：西安经济技术开发区草滩生态产业园草滩十路1155号智巢产业园9栋4F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>·</w: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领料—绕焊—搪锡—刻印标识—压内帽（外包：酸洗）—点焊—安放撞击器—压外帽（外包：镀锡）—充砂—压外帽（垫片）—测试—包装—入库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确定外部提供过程、产品和服务（外包过程）：酸洗、镀锡</w:t>
            </w:r>
          </w:p>
          <w:p>
            <w:pPr>
              <w:widowControl/>
              <w:jc w:val="left"/>
              <w:rPr>
                <w:color w:val="0000FF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组织文件化的管理方针已制定，内容为：以人为本，品质为先，全员参与，精益求精</w:t>
            </w:r>
          </w:p>
          <w:p>
            <w:pPr>
              <w:widowControl/>
              <w:spacing w:before="40"/>
              <w:jc w:val="left"/>
              <w:rPr>
                <w:color w:val="auto"/>
                <w:spacing w:val="-2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/>
                <w:color w:val="auto"/>
                <w:szCs w:val="21"/>
              </w:rPr>
              <w:t>□标语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auto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bookmarkStart w:id="3" w:name="_GoBack"/>
            <w:bookmarkEnd w:id="3"/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全年客户抱怨件数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每月≦1件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当月客户抱怨件数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产品及时交付率100%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生产计划达成率*供方交付及时率*100%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出货批次合格率≧98%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出货合格批次/总计出货批次*100%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制程直通率≧98.7%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｛1-（不良品+返工、返修品数）/生产总数量｝*100%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供方材料交付合格率≧98%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当月来料合格批数÷当月来料总批数×100%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-《管理手册》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-文件化的程序；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质量关键过程（工序）：绕焊、点焊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相关控制参数名称：</w:t>
            </w:r>
            <w:r>
              <w:rPr>
                <w:rFonts w:hint="eastAsia"/>
                <w:color w:val="auto"/>
                <w:lang w:val="en-US" w:eastAsia="zh-CN"/>
              </w:rPr>
              <w:t>电阻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□客户要求、□国际标准、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相关方/客户的反馈、</w:t>
            </w:r>
            <w:r>
              <w:rPr>
                <w:rFonts w:hint="eastAsia"/>
                <w:color w:val="auto"/>
              </w:rPr>
              <w:t>顾客投诉处理和及顾客满意度。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近一年顾客投诉处理情况，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近一年重大质量事故情况，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近一年产品召回的情况。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未发生 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91%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；全自动熔体冲机、绕机（点焊机）、气动精密微机交流点焊机、气动点焊机、点焊机（大）、交流点焊机、储能电焊机、单注专用液压机、打标机等。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；电阻测试仪、电子天平、游标卡尺、外径千分尺等。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D5F76"/>
    <w:rsid w:val="1E6A4FC6"/>
    <w:rsid w:val="3B1568FF"/>
    <w:rsid w:val="432B65D8"/>
    <w:rsid w:val="448718D0"/>
    <w:rsid w:val="508B258E"/>
    <w:rsid w:val="7DCD4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2022-03-20T02:03:13Z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