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宝鸡天健工贸有限公司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22.03.02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宝鸡天健工贸有限公司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43</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陕西省宝鸡市陈仓区阳平宏达工业园</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721303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陕西省宝鸡市陈仓区阳平宏达工业园</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721303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马海岐</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13992700909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马海岐</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马海岐</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重型汽车变速箱壳体、离合器壳体的加工（冶炼、铸造除外）及销售。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2019-05-01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