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40" w:lineRule="auto"/>
              <w:jc w:val="center"/>
              <w:rPr>
                <w:sz w:val="24"/>
                <w:szCs w:val="24"/>
              </w:rPr>
            </w:pPr>
            <w:r>
              <w:rPr>
                <w:rFonts w:hint="eastAsia"/>
                <w:sz w:val="24"/>
                <w:szCs w:val="24"/>
              </w:rPr>
              <w:t>过程与活动、</w:t>
            </w:r>
          </w:p>
          <w:p>
            <w:pPr>
              <w:spacing w:line="240" w:lineRule="auto"/>
              <w:jc w:val="center"/>
            </w:pPr>
            <w:r>
              <w:rPr>
                <w:rFonts w:hint="eastAsia"/>
                <w:sz w:val="24"/>
                <w:szCs w:val="24"/>
              </w:rPr>
              <w:t>抽样计划</w:t>
            </w:r>
          </w:p>
        </w:tc>
        <w:tc>
          <w:tcPr>
            <w:tcW w:w="960" w:type="dxa"/>
            <w:vMerge w:val="restart"/>
            <w:vAlign w:val="center"/>
          </w:tcPr>
          <w:p>
            <w:pPr>
              <w:spacing w:line="240" w:lineRule="auto"/>
              <w:rPr>
                <w:sz w:val="24"/>
                <w:szCs w:val="24"/>
              </w:rPr>
            </w:pPr>
            <w:r>
              <w:rPr>
                <w:rFonts w:hint="eastAsia"/>
                <w:sz w:val="24"/>
                <w:szCs w:val="24"/>
              </w:rPr>
              <w:t>涉及</w:t>
            </w:r>
          </w:p>
          <w:p>
            <w:pPr>
              <w:spacing w:line="240" w:lineRule="auto"/>
            </w:pPr>
            <w:r>
              <w:rPr>
                <w:rFonts w:hint="eastAsia"/>
                <w:sz w:val="24"/>
                <w:szCs w:val="24"/>
              </w:rPr>
              <w:t>条款</w:t>
            </w:r>
          </w:p>
        </w:tc>
        <w:tc>
          <w:tcPr>
            <w:tcW w:w="10004" w:type="dxa"/>
            <w:vAlign w:val="center"/>
          </w:tcPr>
          <w:p>
            <w:pPr>
              <w:spacing w:line="240" w:lineRule="auto"/>
              <w:rPr>
                <w:rFonts w:hint="default" w:eastAsia="宋体"/>
                <w:sz w:val="24"/>
                <w:szCs w:val="24"/>
                <w:lang w:val="en-US" w:eastAsia="zh-CN"/>
              </w:rPr>
            </w:pPr>
            <w:r>
              <w:rPr>
                <w:rFonts w:hint="eastAsia"/>
                <w:sz w:val="24"/>
                <w:szCs w:val="24"/>
              </w:rPr>
              <w:t>受审核部门：</w:t>
            </w:r>
            <w:r>
              <w:rPr>
                <w:rFonts w:hint="eastAsia"/>
                <w:sz w:val="24"/>
                <w:szCs w:val="24"/>
                <w:lang w:val="en-US" w:eastAsia="zh-CN"/>
              </w:rPr>
              <w:t>领导层；</w:t>
            </w:r>
            <w:r>
              <w:rPr>
                <w:rFonts w:hint="eastAsia"/>
                <w:sz w:val="24"/>
                <w:szCs w:val="24"/>
              </w:rPr>
              <w:t>管领导</w:t>
            </w:r>
            <w:r>
              <w:rPr>
                <w:rFonts w:hint="eastAsia"/>
                <w:sz w:val="24"/>
                <w:szCs w:val="24"/>
                <w:lang w:val="en-US" w:eastAsia="zh-CN"/>
              </w:rPr>
              <w:t>/</w:t>
            </w:r>
            <w:r>
              <w:rPr>
                <w:rFonts w:hint="eastAsia"/>
                <w:sz w:val="24"/>
                <w:szCs w:val="24"/>
              </w:rPr>
              <w:t>陪同人员：高泉凯</w:t>
            </w:r>
            <w:r>
              <w:rPr>
                <w:rFonts w:hint="eastAsia"/>
                <w:sz w:val="24"/>
                <w:szCs w:val="24"/>
                <w:lang w:eastAsia="zh-CN"/>
              </w:rPr>
              <w:t>（</w:t>
            </w:r>
            <w:r>
              <w:rPr>
                <w:rFonts w:hint="eastAsia"/>
                <w:sz w:val="24"/>
                <w:szCs w:val="24"/>
                <w:lang w:val="en-US" w:eastAsia="zh-CN"/>
              </w:rPr>
              <w:t>管代兼综合部经理）</w:t>
            </w:r>
          </w:p>
        </w:tc>
        <w:tc>
          <w:tcPr>
            <w:tcW w:w="1585" w:type="dxa"/>
            <w:vMerge w:val="restart"/>
            <w:vAlign w:val="center"/>
          </w:tcPr>
          <w:p>
            <w:pPr>
              <w:spacing w:line="24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004" w:type="dxa"/>
            <w:vAlign w:val="center"/>
          </w:tcPr>
          <w:p>
            <w:pPr>
              <w:spacing w:before="120" w:line="240" w:lineRule="auto"/>
            </w:pPr>
            <w:r>
              <w:rPr>
                <w:rFonts w:hint="eastAsia"/>
                <w:sz w:val="24"/>
                <w:szCs w:val="24"/>
              </w:rPr>
              <w:t>审核员：</w:t>
            </w:r>
            <w:bookmarkStart w:id="0" w:name="审核组成员不含组长"/>
            <w:bookmarkEnd w:id="0"/>
            <w:r>
              <w:rPr>
                <w:rFonts w:hint="eastAsia"/>
                <w:sz w:val="24"/>
                <w:szCs w:val="24"/>
                <w:lang w:val="en-US" w:eastAsia="zh-CN"/>
              </w:rPr>
              <w:t>周文 /远程；</w:t>
            </w:r>
            <w:bookmarkStart w:id="5" w:name="_GoBack"/>
            <w:bookmarkEnd w:id="5"/>
            <w:r>
              <w:rPr>
                <w:rFonts w:hint="eastAsia"/>
                <w:sz w:val="24"/>
                <w:szCs w:val="24"/>
                <w:lang w:val="en-US" w:eastAsia="zh-CN"/>
              </w:rPr>
              <w:t xml:space="preserve"> </w:t>
            </w:r>
            <w:r>
              <w:rPr>
                <w:rFonts w:hint="eastAsia"/>
                <w:sz w:val="24"/>
                <w:szCs w:val="24"/>
              </w:rPr>
              <w:t>审核时间：</w:t>
            </w:r>
            <w:bookmarkStart w:id="1" w:name="审核日期"/>
            <w:r>
              <w:t xml:space="preserve">2022年04月25日 </w:t>
            </w:r>
            <w:bookmarkEnd w:id="1"/>
          </w:p>
        </w:tc>
        <w:tc>
          <w:tcPr>
            <w:tcW w:w="1585"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004" w:type="dxa"/>
            <w:vAlign w:val="center"/>
          </w:tcPr>
          <w:p>
            <w:pPr>
              <w:spacing w:line="240" w:lineRule="auto"/>
              <w:rPr>
                <w:rFonts w:hint="eastAsia"/>
                <w:sz w:val="24"/>
                <w:szCs w:val="24"/>
                <w:lang w:val="en-US" w:eastAsia="zh-CN"/>
              </w:rPr>
            </w:pPr>
            <w:r>
              <w:rPr>
                <w:rFonts w:hint="eastAsia"/>
                <w:sz w:val="24"/>
                <w:szCs w:val="24"/>
              </w:rPr>
              <w:t>审核条款：</w:t>
            </w:r>
          </w:p>
          <w:p>
            <w:pPr>
              <w:tabs>
                <w:tab w:val="left" w:pos="709"/>
              </w:tabs>
              <w:spacing w:line="240" w:lineRule="auto"/>
              <w:ind w:right="57"/>
              <w:rPr>
                <w:sz w:val="21"/>
                <w:szCs w:val="21"/>
              </w:rPr>
            </w:pPr>
            <w:r>
              <w:rPr>
                <w:rFonts w:hint="eastAsia"/>
                <w:sz w:val="21"/>
                <w:szCs w:val="21"/>
              </w:rPr>
              <w:t>1、企业概况及组织体系</w:t>
            </w:r>
            <w:r>
              <w:rPr>
                <w:rFonts w:hint="eastAsia"/>
                <w:sz w:val="21"/>
                <w:szCs w:val="21"/>
                <w:lang w:val="en-US" w:eastAsia="zh-CN"/>
              </w:rPr>
              <w:t>持续运行</w:t>
            </w:r>
            <w:r>
              <w:rPr>
                <w:rFonts w:hint="eastAsia"/>
                <w:sz w:val="21"/>
                <w:szCs w:val="21"/>
              </w:rPr>
              <w:t>总体过程：</w:t>
            </w:r>
          </w:p>
          <w:p>
            <w:pPr>
              <w:tabs>
                <w:tab w:val="left" w:pos="709"/>
              </w:tabs>
              <w:spacing w:line="240" w:lineRule="auto"/>
              <w:ind w:right="57"/>
              <w:rPr>
                <w:rFonts w:hint="default" w:eastAsia="宋体"/>
                <w:sz w:val="21"/>
                <w:szCs w:val="21"/>
                <w:lang w:val="en-US" w:eastAsia="zh-CN"/>
              </w:rPr>
            </w:pPr>
            <w:r>
              <w:rPr>
                <w:rFonts w:hint="eastAsia"/>
                <w:sz w:val="21"/>
                <w:szCs w:val="21"/>
              </w:rPr>
              <w:t>*影响企业</w:t>
            </w:r>
            <w:r>
              <w:rPr>
                <w:rFonts w:hint="eastAsia"/>
                <w:sz w:val="21"/>
                <w:szCs w:val="21"/>
                <w:lang w:val="en-US" w:eastAsia="zh-CN"/>
              </w:rPr>
              <w:t>ES</w:t>
            </w:r>
            <w:r>
              <w:rPr>
                <w:rFonts w:hint="eastAsia"/>
                <w:sz w:val="21"/>
                <w:szCs w:val="21"/>
              </w:rPr>
              <w:t>管理体系预期结果的风险识别与应对</w:t>
            </w:r>
            <w:r>
              <w:rPr>
                <w:rFonts w:hint="eastAsia"/>
                <w:sz w:val="21"/>
                <w:szCs w:val="21"/>
                <w:lang w:val="en-US" w:eastAsia="zh-CN"/>
              </w:rPr>
              <w:t>的持续有效性</w:t>
            </w:r>
            <w:r>
              <w:rPr>
                <w:rFonts w:hint="eastAsia"/>
                <w:sz w:val="21"/>
                <w:szCs w:val="21"/>
              </w:rPr>
              <w:t>，包括相关方需求识别和应对，以及风险识别与应对机制的</w:t>
            </w:r>
            <w:r>
              <w:rPr>
                <w:rFonts w:hint="eastAsia"/>
                <w:sz w:val="21"/>
                <w:szCs w:val="21"/>
                <w:lang w:val="en-US" w:eastAsia="zh-CN"/>
              </w:rPr>
              <w:t>持续有效性</w:t>
            </w:r>
            <w:r>
              <w:rPr>
                <w:rFonts w:hint="eastAsia"/>
                <w:sz w:val="21"/>
                <w:szCs w:val="21"/>
                <w:lang w:eastAsia="zh-CN"/>
              </w:rPr>
              <w:t>；（</w:t>
            </w:r>
            <w:r>
              <w:rPr>
                <w:rFonts w:hint="eastAsia"/>
                <w:sz w:val="21"/>
                <w:szCs w:val="21"/>
                <w:lang w:val="en-US" w:eastAsia="zh-CN"/>
              </w:rPr>
              <w:t>ES4.1、4.2、6.1.1）</w:t>
            </w:r>
          </w:p>
          <w:p>
            <w:pPr>
              <w:tabs>
                <w:tab w:val="left" w:pos="709"/>
              </w:tabs>
              <w:spacing w:line="240" w:lineRule="auto"/>
              <w:ind w:right="57"/>
              <w:rPr>
                <w:rFonts w:hint="eastAsia"/>
                <w:sz w:val="21"/>
                <w:szCs w:val="21"/>
                <w:lang w:val="en-US" w:eastAsia="zh-CN"/>
              </w:rPr>
            </w:pPr>
            <w:r>
              <w:rPr>
                <w:rFonts w:hint="eastAsia"/>
                <w:sz w:val="21"/>
                <w:szCs w:val="21"/>
              </w:rPr>
              <w:t>*管理体系范围确定的适宜性和充分性及体系过程</w:t>
            </w:r>
            <w:r>
              <w:rPr>
                <w:rFonts w:hint="eastAsia"/>
                <w:sz w:val="21"/>
                <w:szCs w:val="21"/>
                <w:lang w:eastAsia="zh-CN"/>
              </w:rPr>
              <w:t>；（</w:t>
            </w:r>
            <w:r>
              <w:rPr>
                <w:rFonts w:hint="eastAsia"/>
                <w:sz w:val="21"/>
                <w:szCs w:val="21"/>
                <w:lang w:val="en-US" w:eastAsia="zh-CN"/>
              </w:rPr>
              <w:t>ES4.3、4.4）</w:t>
            </w:r>
          </w:p>
          <w:p>
            <w:pPr>
              <w:tabs>
                <w:tab w:val="left" w:pos="709"/>
              </w:tabs>
              <w:spacing w:line="240" w:lineRule="auto"/>
              <w:ind w:right="57"/>
              <w:rPr>
                <w:rFonts w:hint="default" w:eastAsia="宋体"/>
                <w:sz w:val="21"/>
                <w:szCs w:val="21"/>
                <w:lang w:val="en-US" w:eastAsia="zh-CN"/>
              </w:rPr>
            </w:pPr>
            <w:r>
              <w:rPr>
                <w:rFonts w:hint="eastAsia"/>
                <w:sz w:val="21"/>
                <w:szCs w:val="21"/>
              </w:rPr>
              <w:t>*组织方针、目标的适宜性</w:t>
            </w:r>
            <w:r>
              <w:rPr>
                <w:rFonts w:hint="eastAsia"/>
                <w:sz w:val="21"/>
                <w:szCs w:val="21"/>
                <w:lang w:val="en-US" w:eastAsia="zh-CN"/>
              </w:rPr>
              <w:t>及与适用的法定要求的符合性；（ES5.2、6.2）</w:t>
            </w:r>
          </w:p>
          <w:p>
            <w:pPr>
              <w:tabs>
                <w:tab w:val="left" w:pos="709"/>
              </w:tabs>
              <w:spacing w:line="240" w:lineRule="auto"/>
              <w:ind w:right="57"/>
              <w:rPr>
                <w:rFonts w:hint="default"/>
                <w:lang w:val="en-US" w:eastAsia="zh-CN"/>
              </w:rPr>
            </w:pPr>
            <w:r>
              <w:rPr>
                <w:rFonts w:hint="eastAsia"/>
                <w:sz w:val="21"/>
                <w:szCs w:val="21"/>
              </w:rPr>
              <w:t>*组织架构及职责分配</w:t>
            </w:r>
            <w:r>
              <w:rPr>
                <w:rFonts w:hint="eastAsia"/>
                <w:sz w:val="21"/>
                <w:szCs w:val="21"/>
                <w:lang w:val="en-US" w:eastAsia="zh-CN"/>
              </w:rPr>
              <w:t>保持</w:t>
            </w:r>
            <w:r>
              <w:rPr>
                <w:rFonts w:hint="eastAsia"/>
                <w:sz w:val="21"/>
                <w:szCs w:val="21"/>
              </w:rPr>
              <w:t>的适宜性</w:t>
            </w:r>
            <w:r>
              <w:rPr>
                <w:rFonts w:hint="eastAsia"/>
                <w:sz w:val="21"/>
                <w:szCs w:val="21"/>
                <w:lang w:eastAsia="zh-CN"/>
              </w:rPr>
              <w:t>；（</w:t>
            </w:r>
            <w:r>
              <w:rPr>
                <w:rFonts w:hint="eastAsia"/>
                <w:sz w:val="21"/>
                <w:szCs w:val="21"/>
                <w:lang w:val="en-US" w:eastAsia="zh-CN"/>
              </w:rPr>
              <w:t>ES5.3、S5.4）</w:t>
            </w:r>
          </w:p>
          <w:p>
            <w:pPr>
              <w:tabs>
                <w:tab w:val="left" w:pos="709"/>
              </w:tabs>
              <w:spacing w:line="240" w:lineRule="auto"/>
              <w:ind w:right="57"/>
              <w:rPr>
                <w:rFonts w:hint="default" w:eastAsia="宋体"/>
                <w:sz w:val="21"/>
                <w:szCs w:val="21"/>
                <w:lang w:val="en-US" w:eastAsia="zh-CN"/>
              </w:rPr>
            </w:pPr>
            <w:r>
              <w:rPr>
                <w:rFonts w:hint="eastAsia"/>
                <w:sz w:val="21"/>
                <w:szCs w:val="21"/>
              </w:rPr>
              <w:t>*体系必要资源</w:t>
            </w:r>
            <w:r>
              <w:rPr>
                <w:rFonts w:hint="eastAsia"/>
                <w:sz w:val="21"/>
                <w:szCs w:val="21"/>
                <w:lang w:val="en-US" w:eastAsia="zh-CN"/>
              </w:rPr>
              <w:t>持续</w:t>
            </w:r>
            <w:r>
              <w:rPr>
                <w:rFonts w:hint="eastAsia"/>
                <w:sz w:val="21"/>
                <w:szCs w:val="21"/>
              </w:rPr>
              <w:t>提供的充分性</w:t>
            </w:r>
            <w:r>
              <w:rPr>
                <w:rFonts w:hint="eastAsia"/>
                <w:sz w:val="21"/>
                <w:szCs w:val="21"/>
                <w:lang w:eastAsia="zh-CN"/>
              </w:rPr>
              <w:t>；（</w:t>
            </w:r>
            <w:r>
              <w:rPr>
                <w:rFonts w:hint="eastAsia"/>
                <w:sz w:val="21"/>
                <w:szCs w:val="21"/>
                <w:lang w:val="en-US" w:eastAsia="zh-CN"/>
              </w:rPr>
              <w:t>ES7.1)</w:t>
            </w:r>
          </w:p>
          <w:p>
            <w:pPr>
              <w:tabs>
                <w:tab w:val="left" w:pos="709"/>
              </w:tabs>
              <w:spacing w:line="240" w:lineRule="auto"/>
              <w:ind w:right="57"/>
              <w:rPr>
                <w:sz w:val="21"/>
                <w:szCs w:val="21"/>
              </w:rPr>
            </w:pPr>
            <w:r>
              <w:rPr>
                <w:rFonts w:hint="eastAsia"/>
                <w:sz w:val="21"/>
                <w:szCs w:val="21"/>
              </w:rPr>
              <w:t>2、体系综合绩效检查、评价和改进过程</w:t>
            </w:r>
            <w:r>
              <w:rPr>
                <w:rFonts w:hint="eastAsia"/>
                <w:sz w:val="21"/>
                <w:szCs w:val="21"/>
                <w:lang w:val="en-US" w:eastAsia="zh-CN"/>
              </w:rPr>
              <w:t>的持续有效性</w:t>
            </w:r>
            <w:r>
              <w:rPr>
                <w:rFonts w:hint="eastAsia"/>
                <w:sz w:val="21"/>
                <w:szCs w:val="21"/>
              </w:rPr>
              <w:t>：</w:t>
            </w:r>
          </w:p>
          <w:p>
            <w:pPr>
              <w:tabs>
                <w:tab w:val="left" w:pos="709"/>
              </w:tabs>
              <w:spacing w:line="240" w:lineRule="auto"/>
              <w:ind w:right="57"/>
              <w:rPr>
                <w:rFonts w:hint="default" w:eastAsia="宋体"/>
                <w:sz w:val="21"/>
                <w:szCs w:val="21"/>
                <w:lang w:val="en-US" w:eastAsia="zh-CN"/>
              </w:rPr>
            </w:pPr>
            <w:r>
              <w:rPr>
                <w:rFonts w:hint="eastAsia"/>
                <w:sz w:val="21"/>
                <w:szCs w:val="21"/>
              </w:rPr>
              <w:t>*管理评审的实施及作用</w:t>
            </w:r>
            <w:r>
              <w:rPr>
                <w:rFonts w:hint="eastAsia"/>
                <w:sz w:val="21"/>
                <w:szCs w:val="21"/>
                <w:lang w:eastAsia="zh-CN"/>
              </w:rPr>
              <w:t>；</w:t>
            </w:r>
            <w:r>
              <w:rPr>
                <w:rFonts w:hint="eastAsia"/>
                <w:sz w:val="21"/>
                <w:szCs w:val="21"/>
                <w:lang w:val="en-US" w:eastAsia="zh-CN"/>
              </w:rPr>
              <w:t>(ES9.3)</w:t>
            </w:r>
          </w:p>
          <w:p>
            <w:pPr>
              <w:tabs>
                <w:tab w:val="left" w:pos="709"/>
              </w:tabs>
              <w:spacing w:line="240" w:lineRule="auto"/>
              <w:ind w:right="57"/>
              <w:rPr>
                <w:rFonts w:hint="eastAsia" w:eastAsia="宋体"/>
                <w:sz w:val="21"/>
                <w:szCs w:val="21"/>
                <w:lang w:eastAsia="zh-CN"/>
              </w:rPr>
            </w:pPr>
            <w:r>
              <w:rPr>
                <w:rFonts w:hint="eastAsia"/>
                <w:sz w:val="21"/>
                <w:szCs w:val="21"/>
              </w:rPr>
              <w:t>3、</w:t>
            </w:r>
            <w:r>
              <w:rPr>
                <w:rFonts w:hint="eastAsia"/>
                <w:sz w:val="21"/>
                <w:szCs w:val="21"/>
                <w:lang w:val="en-US" w:eastAsia="zh-CN"/>
              </w:rPr>
              <w:t>体系持续运行</w:t>
            </w:r>
            <w:r>
              <w:rPr>
                <w:rFonts w:hint="eastAsia"/>
                <w:sz w:val="21"/>
                <w:szCs w:val="21"/>
              </w:rPr>
              <w:t>状况(包括</w:t>
            </w:r>
            <w:r>
              <w:rPr>
                <w:rFonts w:hint="eastAsia"/>
                <w:sz w:val="21"/>
                <w:szCs w:val="21"/>
                <w:lang w:val="en-US" w:eastAsia="zh-CN"/>
              </w:rPr>
              <w:t>资质再确认、上次审核不符合验证、</w:t>
            </w:r>
            <w:r>
              <w:rPr>
                <w:rFonts w:hint="eastAsia"/>
                <w:sz w:val="21"/>
                <w:szCs w:val="21"/>
              </w:rPr>
              <w:t>环境/安全事故、顾客投诉、监督部门抽查/监测等)</w:t>
            </w:r>
            <w:r>
              <w:rPr>
                <w:rFonts w:hint="eastAsia"/>
                <w:sz w:val="21"/>
                <w:szCs w:val="21"/>
                <w:lang w:eastAsia="zh-CN"/>
              </w:rPr>
              <w:t>；</w:t>
            </w:r>
          </w:p>
          <w:p>
            <w:pPr>
              <w:spacing w:line="240" w:lineRule="auto"/>
              <w:rPr>
                <w:rFonts w:hint="eastAsia"/>
                <w:sz w:val="24"/>
                <w:szCs w:val="24"/>
                <w:lang w:val="en-US" w:eastAsia="zh-CN"/>
              </w:rPr>
            </w:pPr>
          </w:p>
        </w:tc>
        <w:tc>
          <w:tcPr>
            <w:tcW w:w="1585"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40" w:lineRule="auto"/>
            </w:pPr>
            <w:r>
              <w:rPr>
                <w:rFonts w:hint="eastAsia"/>
                <w:sz w:val="21"/>
                <w:szCs w:val="21"/>
              </w:rPr>
              <w:t>影响企业</w:t>
            </w:r>
            <w:r>
              <w:rPr>
                <w:rFonts w:hint="eastAsia"/>
                <w:sz w:val="21"/>
                <w:szCs w:val="21"/>
                <w:lang w:val="en-US" w:eastAsia="zh-CN"/>
              </w:rPr>
              <w:t>ES</w:t>
            </w:r>
            <w:r>
              <w:rPr>
                <w:rFonts w:hint="eastAsia"/>
                <w:sz w:val="21"/>
                <w:szCs w:val="21"/>
              </w:rPr>
              <w:t>管理体系预期结果的风险识别与应对</w:t>
            </w:r>
            <w:r>
              <w:rPr>
                <w:rFonts w:hint="eastAsia"/>
                <w:sz w:val="21"/>
                <w:szCs w:val="21"/>
                <w:lang w:val="en-US" w:eastAsia="zh-CN"/>
              </w:rPr>
              <w:t>的持续有效性</w:t>
            </w:r>
          </w:p>
        </w:tc>
        <w:tc>
          <w:tcPr>
            <w:tcW w:w="960" w:type="dxa"/>
          </w:tcPr>
          <w:p>
            <w:pPr>
              <w:spacing w:line="240" w:lineRule="auto"/>
            </w:pPr>
            <w:r>
              <w:rPr>
                <w:rFonts w:hint="eastAsia"/>
                <w:sz w:val="21"/>
                <w:szCs w:val="21"/>
                <w:lang w:val="en-US" w:eastAsia="zh-CN"/>
              </w:rPr>
              <w:t>ES4.1、4.2、6.1.1</w:t>
            </w:r>
          </w:p>
        </w:tc>
        <w:tc>
          <w:tcPr>
            <w:tcW w:w="10004" w:type="dxa"/>
          </w:tcPr>
          <w:p>
            <w:pPr>
              <w:pStyle w:val="15"/>
              <w:spacing w:line="240" w:lineRule="auto"/>
              <w:ind w:firstLine="420" w:firstLineChars="200"/>
              <w:rPr>
                <w:rFonts w:hint="eastAsia" w:ascii="Times New Roman" w:hAnsi="Times New Roman"/>
                <w:sz w:val="21"/>
                <w:szCs w:val="21"/>
                <w:lang w:eastAsia="zh-CN"/>
              </w:rPr>
            </w:pPr>
            <w:r>
              <w:rPr>
                <w:rFonts w:hint="eastAsia" w:ascii="Times New Roman" w:hAnsi="Times New Roman"/>
                <w:sz w:val="21"/>
                <w:szCs w:val="21"/>
                <w:lang w:val="en-US" w:eastAsia="zh-CN"/>
              </w:rPr>
              <w:t>法人兼总经理：何清鑫</w:t>
            </w:r>
            <w:r>
              <w:rPr>
                <w:rFonts w:hint="eastAsia" w:ascii="Times New Roman" w:hAnsi="Times New Roman"/>
                <w:sz w:val="21"/>
                <w:szCs w:val="21"/>
                <w:lang w:eastAsia="zh-CN"/>
              </w:rPr>
              <w:t>；管理体系负责人</w:t>
            </w:r>
            <w:r>
              <w:rPr>
                <w:rFonts w:hint="eastAsia" w:ascii="Times New Roman" w:hAnsi="Times New Roman"/>
                <w:sz w:val="21"/>
                <w:szCs w:val="21"/>
                <w:lang w:val="en-US" w:eastAsia="zh-CN"/>
              </w:rPr>
              <w:t>/管代：</w:t>
            </w:r>
            <w:r>
              <w:rPr>
                <w:rFonts w:hint="eastAsia" w:ascii="Times New Roman" w:hAnsi="Times New Roman"/>
                <w:sz w:val="21"/>
                <w:szCs w:val="21"/>
              </w:rPr>
              <w:t>高泉凯</w:t>
            </w:r>
            <w:r>
              <w:rPr>
                <w:rFonts w:hint="eastAsia" w:ascii="Times New Roman" w:hAnsi="Times New Roman"/>
                <w:sz w:val="21"/>
                <w:szCs w:val="21"/>
                <w:lang w:eastAsia="zh-CN"/>
              </w:rPr>
              <w:t>；</w:t>
            </w:r>
            <w:r>
              <w:rPr>
                <w:rFonts w:hint="eastAsia" w:ascii="Times New Roman" w:hAnsi="Times New Roman"/>
                <w:sz w:val="21"/>
                <w:szCs w:val="21"/>
                <w:lang w:val="en-US" w:eastAsia="zh-CN"/>
              </w:rPr>
              <w:t>员工</w:t>
            </w:r>
            <w:r>
              <w:rPr>
                <w:rFonts w:hint="eastAsia" w:ascii="Times New Roman" w:hAnsi="Times New Roman"/>
                <w:sz w:val="21"/>
                <w:szCs w:val="21"/>
              </w:rPr>
              <w:t>代表</w:t>
            </w:r>
            <w:r>
              <w:rPr>
                <w:rFonts w:hint="eastAsia" w:ascii="Times New Roman" w:hAnsi="Times New Roman"/>
                <w:sz w:val="21"/>
                <w:szCs w:val="21"/>
                <w:lang w:eastAsia="zh-CN"/>
              </w:rPr>
              <w:t>：</w:t>
            </w:r>
            <w:r>
              <w:rPr>
                <w:rFonts w:hint="eastAsia" w:ascii="Times New Roman" w:hAnsi="Times New Roman"/>
                <w:sz w:val="21"/>
                <w:szCs w:val="21"/>
                <w:lang w:val="en-US" w:eastAsia="zh-CN"/>
              </w:rPr>
              <w:t>罗志豪</w:t>
            </w:r>
            <w:r>
              <w:rPr>
                <w:rFonts w:hint="eastAsia" w:ascii="Times New Roman" w:hAnsi="Times New Roman"/>
                <w:sz w:val="21"/>
                <w:szCs w:val="21"/>
                <w:lang w:eastAsia="zh-CN"/>
              </w:rPr>
              <w:t>；</w:t>
            </w:r>
          </w:p>
          <w:p>
            <w:pPr>
              <w:pStyle w:val="15"/>
              <w:spacing w:line="240" w:lineRule="auto"/>
              <w:ind w:firstLine="420" w:firstLineChars="200"/>
              <w:rPr>
                <w:rFonts w:hint="eastAsia" w:ascii="Times New Roman" w:hAnsi="Times New Roman"/>
                <w:sz w:val="21"/>
                <w:szCs w:val="21"/>
                <w:lang w:val="en-US" w:eastAsia="zh-CN"/>
              </w:rPr>
            </w:pPr>
            <w:r>
              <w:rPr>
                <w:rFonts w:hint="eastAsia" w:ascii="Times New Roman" w:hAnsi="Times New Roman"/>
                <w:sz w:val="21"/>
                <w:szCs w:val="21"/>
                <w:lang w:val="en-US" w:eastAsia="zh-CN"/>
              </w:rPr>
              <w:t>福建森野科技有限公司是一家专业生产研发环保污水处理成套设备,全自动超高压压滤机,智能高压柱塞泵,钢化橡胶隔膜滤板的环保设备企业。</w:t>
            </w:r>
          </w:p>
          <w:p>
            <w:pPr>
              <w:pStyle w:val="15"/>
              <w:spacing w:line="240" w:lineRule="auto"/>
              <w:ind w:firstLine="420" w:firstLineChars="200"/>
              <w:rPr>
                <w:rFonts w:hint="eastAsia" w:ascii="Times New Roman" w:hAnsi="Times New Roman"/>
                <w:sz w:val="21"/>
                <w:szCs w:val="21"/>
                <w:lang w:val="en-US" w:eastAsia="zh-CN"/>
              </w:rPr>
            </w:pPr>
            <w:r>
              <w:rPr>
                <w:rFonts w:hint="eastAsia" w:ascii="Times New Roman" w:hAnsi="Times New Roman"/>
                <w:sz w:val="21"/>
                <w:szCs w:val="21"/>
                <w:lang w:val="en-US" w:eastAsia="zh-CN"/>
              </w:rPr>
              <w:t>公司于2020年3月6日依据GB/T24001-2015 idt ISO14001：2015《环境管理体系  要求及使用指南》、GB/T45001-2020/ISO45001:2018《职业健康安全管理体系 要求及使用指南》，以环保固液分离设备产品（压滤机、柱塞泵）的销售全过程为中心，结合公司的实际情况和产品特性，建立、实施、保持和持续改进了环境、职业健康安全一体化管理体系，确保在满足国家法规的基础上为客户提供优质的产品和完善的服务。</w:t>
            </w:r>
          </w:p>
          <w:p>
            <w:pPr>
              <w:pStyle w:val="15"/>
              <w:spacing w:line="240" w:lineRule="auto"/>
              <w:rPr>
                <w:rFonts w:hint="default" w:ascii="Times New Roman" w:hAnsi="Times New Roman"/>
                <w:sz w:val="21"/>
                <w:szCs w:val="21"/>
                <w:lang w:val="en-US" w:eastAsia="zh-CN"/>
              </w:rPr>
            </w:pPr>
            <w:r>
              <w:rPr>
                <w:rFonts w:hint="eastAsia" w:ascii="Times New Roman" w:hAnsi="Times New Roman"/>
                <w:sz w:val="21"/>
                <w:szCs w:val="21"/>
                <w:lang w:val="en-US" w:eastAsia="zh-CN"/>
              </w:rPr>
              <w:t>根据顾客要求、企业的经验和资源状况，以过程方法模式，识别公司的管理体系所需的过程。采用PDCA循环的管理方法。重点识别环保固液分离设备（压滤机、柱塞泵）的销售（法规强制要求范围除外）所涉及的相关环境、职业健康安全管理活动实现过程、关键过程及其相互作用。通过把管理的过程方法原则和系统方法原理相结合，实现企业的全面管理。</w:t>
            </w:r>
          </w:p>
          <w:p>
            <w:pPr>
              <w:pStyle w:val="15"/>
              <w:spacing w:line="240" w:lineRule="auto"/>
              <w:rPr>
                <w:rFonts w:hint="eastAsia" w:ascii="Times New Roman" w:hAnsi="Times New Roman"/>
                <w:sz w:val="21"/>
                <w:szCs w:val="21"/>
                <w:lang w:val="en-US" w:eastAsia="zh-CN"/>
              </w:rPr>
            </w:pPr>
            <w:r>
              <w:rPr>
                <w:rFonts w:hint="eastAsia" w:ascii="Times New Roman" w:hAnsi="Times New Roman"/>
                <w:sz w:val="21"/>
                <w:szCs w:val="21"/>
                <w:lang w:val="en-US" w:eastAsia="zh-CN"/>
              </w:rPr>
              <w:t>主要产品实现过程为：</w:t>
            </w:r>
          </w:p>
          <w:p>
            <w:pPr>
              <w:pStyle w:val="15"/>
              <w:spacing w:line="240" w:lineRule="auto"/>
              <w:rPr>
                <w:rFonts w:hint="eastAsia" w:ascii="Times New Roman" w:hAnsi="Times New Roman"/>
                <w:sz w:val="21"/>
                <w:szCs w:val="21"/>
                <w:lang w:val="en-US" w:eastAsia="zh-CN"/>
              </w:rPr>
            </w:pPr>
            <w:r>
              <w:rPr>
                <w:rFonts w:hint="eastAsia" w:ascii="Times New Roman" w:hAnsi="Times New Roman"/>
                <w:sz w:val="21"/>
                <w:szCs w:val="21"/>
                <w:lang w:val="en-US" w:eastAsia="zh-CN"/>
              </w:rPr>
              <w:t>开发客户→客户沟通→联系供方→询价→客户确认→下订单→跟踪交货→对帐收款→售后服务</w:t>
            </w:r>
          </w:p>
          <w:p>
            <w:pPr>
              <w:pStyle w:val="15"/>
              <w:spacing w:line="240" w:lineRule="auto"/>
              <w:rPr>
                <w:rFonts w:hint="eastAsia" w:ascii="Times New Roman" w:hAnsi="Times New Roman"/>
                <w:sz w:val="21"/>
                <w:szCs w:val="21"/>
                <w:lang w:val="en-US" w:eastAsia="zh-CN"/>
              </w:rPr>
            </w:pPr>
            <w:r>
              <w:rPr>
                <w:rFonts w:hint="eastAsia" w:ascii="Times New Roman" w:hAnsi="Times New Roman"/>
                <w:sz w:val="21"/>
                <w:szCs w:val="21"/>
                <w:lang w:val="en-US" w:eastAsia="zh-CN"/>
              </w:rPr>
              <w:t>---公司策划有《风险识别控制程序》、《环境因素识别与评价控制程序》、《危险源辨识与风险评价控制程序》、《法律法规和其他要求控制程序》，建立了控制准则。</w:t>
            </w:r>
          </w:p>
          <w:p>
            <w:pPr>
              <w:pStyle w:val="15"/>
              <w:spacing w:line="240" w:lineRule="auto"/>
              <w:rPr>
                <w:rFonts w:hint="eastAsia" w:ascii="Times New Roman" w:hAnsi="Times New Roman"/>
                <w:sz w:val="21"/>
                <w:szCs w:val="21"/>
                <w:lang w:val="en-US" w:eastAsia="zh-CN"/>
              </w:rPr>
            </w:pPr>
            <w:r>
              <w:rPr>
                <w:rFonts w:hint="eastAsia" w:ascii="Times New Roman" w:hAnsi="Times New Roman"/>
                <w:sz w:val="21"/>
                <w:szCs w:val="21"/>
                <w:lang w:val="en-US" w:eastAsia="zh-CN"/>
              </w:rPr>
              <w:t>---出示有“内、外部经营环境因素评价”及“相关方及相关方要求清单”，对公司内外部的因素及与管理体系有关的相关方的信息进行了监视与评审。抽相关方要求：</w:t>
            </w:r>
          </w:p>
          <w:p>
            <w:pPr>
              <w:pStyle w:val="15"/>
              <w:spacing w:line="240" w:lineRule="auto"/>
              <w:rPr>
                <w:rFonts w:hint="default" w:ascii="Times New Roman" w:hAnsi="Times New Roman"/>
                <w:sz w:val="21"/>
                <w:szCs w:val="21"/>
                <w:lang w:val="en-US" w:eastAsia="zh-CN"/>
              </w:rPr>
            </w:pPr>
            <w:r>
              <w:rPr>
                <w:rFonts w:hint="default" w:ascii="Times New Roman" w:hAnsi="Times New Roman"/>
                <w:sz w:val="21"/>
                <w:szCs w:val="21"/>
                <w:lang w:val="en-US" w:eastAsia="zh-CN"/>
              </w:rPr>
              <w:t>顾客的需要和期望</w:t>
            </w:r>
            <w:r>
              <w:rPr>
                <w:rFonts w:hint="eastAsia" w:ascii="Times New Roman" w:hAnsi="Times New Roman"/>
                <w:sz w:val="21"/>
                <w:szCs w:val="21"/>
                <w:lang w:val="en-US" w:eastAsia="zh-CN"/>
              </w:rPr>
              <w:t>：</w:t>
            </w:r>
            <w:r>
              <w:rPr>
                <w:rFonts w:hint="default" w:ascii="Times New Roman" w:hAnsi="Times New Roman"/>
                <w:sz w:val="21"/>
                <w:szCs w:val="21"/>
                <w:lang w:val="en-US" w:eastAsia="zh-CN"/>
              </w:rPr>
              <w:tab/>
            </w:r>
            <w:r>
              <w:rPr>
                <w:rFonts w:hint="default" w:ascii="Times New Roman" w:hAnsi="Times New Roman"/>
                <w:sz w:val="21"/>
                <w:szCs w:val="21"/>
                <w:lang w:val="en-US" w:eastAsia="zh-CN"/>
              </w:rPr>
              <w:t>产品质量符合顾客要求、及时交货、价格合理、质量稳定承诺等</w:t>
            </w:r>
            <w:r>
              <w:rPr>
                <w:rFonts w:hint="default" w:ascii="Times New Roman" w:hAnsi="Times New Roman"/>
                <w:sz w:val="21"/>
                <w:szCs w:val="21"/>
                <w:lang w:val="en-US" w:eastAsia="zh-CN"/>
              </w:rPr>
              <w:tab/>
            </w:r>
          </w:p>
          <w:p>
            <w:pPr>
              <w:pStyle w:val="15"/>
              <w:spacing w:line="240" w:lineRule="auto"/>
              <w:rPr>
                <w:rFonts w:hint="default" w:ascii="Times New Roman" w:hAnsi="Times New Roman"/>
                <w:sz w:val="21"/>
                <w:szCs w:val="21"/>
                <w:lang w:val="en-US" w:eastAsia="zh-CN"/>
              </w:rPr>
            </w:pPr>
            <w:r>
              <w:rPr>
                <w:rFonts w:hint="default" w:ascii="Times New Roman" w:hAnsi="Times New Roman"/>
                <w:sz w:val="21"/>
                <w:szCs w:val="21"/>
                <w:lang w:val="en-US" w:eastAsia="zh-CN"/>
              </w:rPr>
              <w:t>涉及的过程和活动</w:t>
            </w:r>
            <w:r>
              <w:rPr>
                <w:rFonts w:hint="eastAsia" w:ascii="Times New Roman" w:hAnsi="Times New Roman"/>
                <w:sz w:val="21"/>
                <w:szCs w:val="21"/>
                <w:lang w:val="en-US" w:eastAsia="zh-CN"/>
              </w:rPr>
              <w:t>：</w:t>
            </w:r>
            <w:r>
              <w:rPr>
                <w:rFonts w:hint="default" w:ascii="Times New Roman" w:hAnsi="Times New Roman"/>
                <w:sz w:val="21"/>
                <w:szCs w:val="21"/>
                <w:lang w:val="en-US" w:eastAsia="zh-CN"/>
              </w:rPr>
              <w:t>销售部</w:t>
            </w:r>
            <w:r>
              <w:rPr>
                <w:rFonts w:hint="default" w:ascii="Times New Roman" w:hAnsi="Times New Roman"/>
                <w:sz w:val="21"/>
                <w:szCs w:val="21"/>
                <w:lang w:val="en-US" w:eastAsia="zh-CN"/>
              </w:rPr>
              <w:tab/>
            </w:r>
            <w:r>
              <w:rPr>
                <w:rFonts w:hint="default" w:ascii="Times New Roman" w:hAnsi="Times New Roman"/>
                <w:sz w:val="21"/>
                <w:szCs w:val="21"/>
                <w:lang w:val="en-US" w:eastAsia="zh-CN"/>
              </w:rPr>
              <w:t>产品交付、环保、安全运行控制</w:t>
            </w:r>
            <w:r>
              <w:rPr>
                <w:rFonts w:hint="default" w:ascii="Times New Roman" w:hAnsi="Times New Roman"/>
                <w:sz w:val="21"/>
                <w:szCs w:val="21"/>
                <w:lang w:val="en-US" w:eastAsia="zh-CN"/>
              </w:rPr>
              <w:tab/>
            </w:r>
            <w:r>
              <w:rPr>
                <w:rFonts w:hint="default" w:ascii="Times New Roman" w:hAnsi="Times New Roman"/>
                <w:sz w:val="21"/>
                <w:szCs w:val="21"/>
                <w:lang w:val="en-US" w:eastAsia="zh-CN"/>
              </w:rPr>
              <w:t>重要</w:t>
            </w:r>
          </w:p>
          <w:p>
            <w:pPr>
              <w:pStyle w:val="15"/>
              <w:spacing w:line="240" w:lineRule="auto"/>
              <w:rPr>
                <w:rFonts w:hint="default" w:ascii="Times New Roman" w:hAnsi="Times New Roman"/>
                <w:sz w:val="21"/>
                <w:szCs w:val="21"/>
                <w:lang w:val="en-US" w:eastAsia="zh-CN"/>
              </w:rPr>
            </w:pPr>
            <w:r>
              <w:rPr>
                <w:rFonts w:hint="default" w:ascii="Times New Roman" w:hAnsi="Times New Roman"/>
                <w:sz w:val="21"/>
                <w:szCs w:val="21"/>
                <w:lang w:val="en-US" w:eastAsia="zh-CN"/>
              </w:rPr>
              <w:t>供方的需要和期望</w:t>
            </w:r>
            <w:r>
              <w:rPr>
                <w:rFonts w:hint="eastAsia" w:ascii="Times New Roman" w:hAnsi="Times New Roman"/>
                <w:sz w:val="21"/>
                <w:szCs w:val="21"/>
                <w:lang w:val="en-US" w:eastAsia="zh-CN"/>
              </w:rPr>
              <w:t>：</w:t>
            </w:r>
            <w:r>
              <w:rPr>
                <w:rFonts w:hint="default" w:ascii="Times New Roman" w:hAnsi="Times New Roman"/>
                <w:sz w:val="21"/>
                <w:szCs w:val="21"/>
                <w:lang w:val="en-US" w:eastAsia="zh-CN"/>
              </w:rPr>
              <w:tab/>
            </w:r>
            <w:r>
              <w:rPr>
                <w:rFonts w:hint="default" w:ascii="Times New Roman" w:hAnsi="Times New Roman"/>
                <w:sz w:val="21"/>
                <w:szCs w:val="21"/>
                <w:lang w:val="en-US" w:eastAsia="zh-CN"/>
              </w:rPr>
              <w:t>长期合作、双赢、进料合格率高、及时付款等</w:t>
            </w:r>
            <w:r>
              <w:rPr>
                <w:rFonts w:hint="default" w:ascii="Times New Roman" w:hAnsi="Times New Roman"/>
                <w:sz w:val="21"/>
                <w:szCs w:val="21"/>
                <w:lang w:val="en-US" w:eastAsia="zh-CN"/>
              </w:rPr>
              <w:tab/>
            </w:r>
          </w:p>
          <w:p>
            <w:pPr>
              <w:pStyle w:val="15"/>
              <w:spacing w:line="240" w:lineRule="auto"/>
              <w:rPr>
                <w:rFonts w:hint="default" w:ascii="Times New Roman" w:hAnsi="Times New Roman"/>
                <w:sz w:val="21"/>
                <w:szCs w:val="21"/>
                <w:lang w:val="en-US" w:eastAsia="zh-CN"/>
              </w:rPr>
            </w:pPr>
            <w:r>
              <w:rPr>
                <w:rFonts w:hint="default" w:ascii="Times New Roman" w:hAnsi="Times New Roman"/>
                <w:sz w:val="21"/>
                <w:szCs w:val="21"/>
                <w:lang w:val="en-US" w:eastAsia="zh-CN"/>
              </w:rPr>
              <w:t>涉及的过程和活动</w:t>
            </w:r>
            <w:r>
              <w:rPr>
                <w:rFonts w:hint="eastAsia" w:ascii="Times New Roman" w:hAnsi="Times New Roman"/>
                <w:sz w:val="21"/>
                <w:szCs w:val="21"/>
                <w:lang w:val="en-US" w:eastAsia="zh-CN"/>
              </w:rPr>
              <w:t>：</w:t>
            </w:r>
            <w:r>
              <w:rPr>
                <w:rFonts w:hint="default" w:ascii="Times New Roman" w:hAnsi="Times New Roman"/>
                <w:sz w:val="21"/>
                <w:szCs w:val="21"/>
                <w:lang w:val="en-US" w:eastAsia="zh-CN"/>
              </w:rPr>
              <w:t>综合部</w:t>
            </w:r>
            <w:r>
              <w:rPr>
                <w:rFonts w:hint="default" w:ascii="Times New Roman" w:hAnsi="Times New Roman"/>
                <w:sz w:val="21"/>
                <w:szCs w:val="21"/>
                <w:lang w:val="en-US" w:eastAsia="zh-CN"/>
              </w:rPr>
              <w:tab/>
            </w:r>
            <w:r>
              <w:rPr>
                <w:rFonts w:hint="default" w:ascii="Times New Roman" w:hAnsi="Times New Roman"/>
                <w:sz w:val="21"/>
                <w:szCs w:val="21"/>
                <w:lang w:val="en-US" w:eastAsia="zh-CN"/>
              </w:rPr>
              <w:t>采购</w:t>
            </w:r>
            <w:r>
              <w:rPr>
                <w:rFonts w:hint="default" w:ascii="Times New Roman" w:hAnsi="Times New Roman"/>
                <w:sz w:val="21"/>
                <w:szCs w:val="21"/>
                <w:lang w:val="en-US" w:eastAsia="zh-CN"/>
              </w:rPr>
              <w:tab/>
            </w:r>
            <w:r>
              <w:rPr>
                <w:rFonts w:hint="default" w:ascii="Times New Roman" w:hAnsi="Times New Roman"/>
                <w:sz w:val="21"/>
                <w:szCs w:val="21"/>
                <w:lang w:val="en-US" w:eastAsia="zh-CN"/>
              </w:rPr>
              <w:t>重要</w:t>
            </w:r>
          </w:p>
          <w:p>
            <w:pPr>
              <w:pStyle w:val="15"/>
              <w:spacing w:line="240" w:lineRule="auto"/>
              <w:rPr>
                <w:rFonts w:hint="eastAsia" w:ascii="Times New Roman" w:hAnsi="Times New Roman" w:eastAsia="宋体" w:cs="Times New Roman"/>
                <w:lang w:val="en-US" w:eastAsia="zh-CN"/>
              </w:rPr>
            </w:pPr>
            <w:r>
              <w:rPr>
                <w:rFonts w:hint="eastAsia" w:ascii="Times New Roman" w:hAnsi="Times New Roman"/>
                <w:sz w:val="21"/>
                <w:szCs w:val="21"/>
                <w:lang w:val="en-US" w:eastAsia="zh-CN"/>
              </w:rPr>
              <w:t>---提供有</w:t>
            </w:r>
            <w:r>
              <w:rPr>
                <w:rFonts w:hint="eastAsia" w:ascii="Times New Roman" w:hAnsi="Times New Roman" w:eastAsia="宋体" w:cs="Times New Roman"/>
                <w:lang w:val="en-US" w:eastAsia="zh-CN"/>
              </w:rPr>
              <w:t>“风险识别评估表”、“环境因素调查评价表 ”、“危险源辩识及风险评价表”等文件</w:t>
            </w:r>
            <w:r>
              <w:rPr>
                <w:rFonts w:hint="eastAsia" w:ascii="Times New Roman" w:hAnsi="Times New Roman" w:cs="Times New Roman"/>
                <w:lang w:val="en-US" w:eastAsia="zh-CN"/>
              </w:rPr>
              <w:t>和</w:t>
            </w:r>
            <w:r>
              <w:rPr>
                <w:rFonts w:hint="eastAsia" w:ascii="Times New Roman" w:hAnsi="Times New Roman" w:eastAsia="宋体" w:cs="Times New Roman"/>
                <w:lang w:val="en-US" w:eastAsia="zh-CN"/>
              </w:rPr>
              <w:t>记录</w:t>
            </w:r>
            <w:r>
              <w:rPr>
                <w:rFonts w:hint="eastAsia" w:ascii="Times New Roman" w:hAnsi="Times New Roman" w:cs="Times New Roman"/>
                <w:lang w:val="en-US" w:eastAsia="zh-CN"/>
              </w:rPr>
              <w:t>。抽查：</w:t>
            </w:r>
            <w:r>
              <w:rPr>
                <w:rFonts w:hint="eastAsia" w:ascii="Times New Roman" w:hAnsi="Times New Roman" w:eastAsia="宋体" w:cs="Times New Roman"/>
                <w:lang w:val="en-US" w:eastAsia="zh-CN"/>
              </w:rPr>
              <w:t>“风险识别评估表”</w:t>
            </w:r>
          </w:p>
          <w:p>
            <w:pPr>
              <w:pStyle w:val="15"/>
              <w:spacing w:line="240" w:lineRule="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风险：</w:t>
            </w:r>
          </w:p>
          <w:p>
            <w:pPr>
              <w:pStyle w:val="15"/>
              <w:numPr>
                <w:ilvl w:val="0"/>
                <w:numId w:val="1"/>
              </w:numPr>
              <w:spacing w:line="240" w:lineRule="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采购人员能力意识不符合要求，造成采购劣质原材料；</w:t>
            </w:r>
          </w:p>
          <w:p>
            <w:pPr>
              <w:pStyle w:val="15"/>
              <w:spacing w:line="240" w:lineRule="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2、业务人员能力意识不符合要求，造成公司财产和经济损失；</w:t>
            </w:r>
          </w:p>
          <w:p>
            <w:pPr>
              <w:pStyle w:val="15"/>
              <w:spacing w:line="240" w:lineRule="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措施</w:t>
            </w:r>
          </w:p>
          <w:p>
            <w:pPr>
              <w:pStyle w:val="15"/>
              <w:numPr>
                <w:ilvl w:val="0"/>
                <w:numId w:val="2"/>
              </w:numPr>
              <w:spacing w:line="240" w:lineRule="auto"/>
              <w:rPr>
                <w:rFonts w:hint="eastAsia" w:ascii="Times New Roman" w:hAnsi="Times New Roman" w:eastAsia="宋体"/>
                <w:sz w:val="21"/>
                <w:szCs w:val="21"/>
                <w:lang w:val="en-US" w:eastAsia="zh-CN"/>
              </w:rPr>
            </w:pPr>
            <w:bookmarkStart w:id="2" w:name="OLE_LINK1"/>
            <w:r>
              <w:rPr>
                <w:rFonts w:hint="eastAsia" w:ascii="Times New Roman" w:hAnsi="Times New Roman" w:eastAsia="宋体"/>
                <w:sz w:val="21"/>
                <w:szCs w:val="21"/>
                <w:lang w:val="en-US" w:eastAsia="zh-CN"/>
              </w:rPr>
              <w:t>加强人员入职考核，关键岗位人员必须做背景调查；</w:t>
            </w:r>
          </w:p>
          <w:p>
            <w:pPr>
              <w:pStyle w:val="15"/>
              <w:numPr>
                <w:ilvl w:val="0"/>
                <w:numId w:val="2"/>
              </w:numPr>
              <w:spacing w:line="240" w:lineRule="auto"/>
              <w:ind w:left="0" w:leftChars="0" w:firstLine="0" w:firstLineChars="0"/>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加强入职培训，确保人员在入职时是符合岗位任职要求的；</w:t>
            </w:r>
          </w:p>
          <w:p>
            <w:pPr>
              <w:pStyle w:val="15"/>
              <w:numPr>
                <w:ilvl w:val="0"/>
                <w:numId w:val="2"/>
              </w:numPr>
              <w:spacing w:line="240" w:lineRule="auto"/>
              <w:ind w:left="0" w:leftChars="0" w:firstLine="0" w:firstLineChars="0"/>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加强任职过程的培训和再培训，对不合格的员工通过调岗、轮岗等方式再培训和对能力的再确认；</w:t>
            </w:r>
          </w:p>
          <w:p>
            <w:pPr>
              <w:pStyle w:val="15"/>
              <w:numPr>
                <w:numId w:val="0"/>
              </w:numPr>
              <w:spacing w:line="240" w:lineRule="auto"/>
              <w:ind w:leftChars="0"/>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4、每年对员工能力综合评价一次；</w:t>
            </w:r>
          </w:p>
          <w:bookmarkEnd w:id="2"/>
          <w:p>
            <w:pPr>
              <w:pStyle w:val="2"/>
              <w:spacing w:line="240" w:lineRule="auto"/>
              <w:rPr>
                <w:rFonts w:hint="default"/>
                <w:lang w:val="en-US" w:eastAsia="zh-CN"/>
              </w:rPr>
            </w:pPr>
          </w:p>
          <w:p>
            <w:pPr>
              <w:pStyle w:val="14"/>
              <w:spacing w:line="240" w:lineRule="auto"/>
              <w:rPr>
                <w:rFonts w:hint="default" w:ascii="Times New Roman" w:hAnsi="Times New Roman" w:eastAsia="宋体" w:cs="Times New Roman"/>
                <w:bCs w:val="0"/>
                <w:spacing w:val="0"/>
                <w:kern w:val="2"/>
                <w:sz w:val="21"/>
                <w:lang w:val="en-US" w:eastAsia="zh-CN" w:bidi="ar-SA"/>
              </w:rPr>
            </w:pPr>
            <w:r>
              <w:rPr>
                <w:rFonts w:hint="eastAsia"/>
                <w:sz w:val="21"/>
                <w:szCs w:val="21"/>
              </w:rPr>
              <w:t>——年度保持基本满足要求。</w:t>
            </w:r>
          </w:p>
        </w:tc>
        <w:tc>
          <w:tcPr>
            <w:tcW w:w="1585" w:type="dxa"/>
          </w:tcPr>
          <w:p>
            <w:pPr>
              <w:spacing w:line="24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240" w:lineRule="auto"/>
            </w:pPr>
            <w:r>
              <w:rPr>
                <w:rFonts w:hint="eastAsia"/>
                <w:sz w:val="21"/>
                <w:szCs w:val="21"/>
              </w:rPr>
              <w:t>管理体系范围确定的适宜性和充分性及体系过程</w:t>
            </w:r>
          </w:p>
        </w:tc>
        <w:tc>
          <w:tcPr>
            <w:tcW w:w="960" w:type="dxa"/>
          </w:tcPr>
          <w:p>
            <w:pPr>
              <w:spacing w:line="240" w:lineRule="auto"/>
            </w:pPr>
            <w:r>
              <w:rPr>
                <w:rFonts w:hint="eastAsia"/>
                <w:sz w:val="21"/>
                <w:szCs w:val="21"/>
                <w:lang w:val="en-US" w:eastAsia="zh-CN"/>
              </w:rPr>
              <w:t>ES4.3、4.4</w:t>
            </w:r>
          </w:p>
        </w:tc>
        <w:tc>
          <w:tcPr>
            <w:tcW w:w="10004" w:type="dxa"/>
          </w:tcPr>
          <w:p>
            <w:pPr>
              <w:pStyle w:val="15"/>
              <w:spacing w:line="240" w:lineRule="auto"/>
              <w:rPr>
                <w:rFonts w:hint="eastAsia" w:ascii="Times New Roman" w:hAnsi="Times New Roman" w:eastAsia="宋体" w:cs="Times New Roman"/>
                <w:sz w:val="21"/>
                <w:szCs w:val="21"/>
                <w:lang w:val="en-US" w:eastAsia="zh-CN"/>
              </w:rPr>
            </w:pPr>
            <w:r>
              <w:rPr>
                <w:rFonts w:hint="eastAsia"/>
                <w:sz w:val="21"/>
                <w:szCs w:val="21"/>
                <w:lang w:val="en-US" w:eastAsia="zh-CN"/>
              </w:rPr>
              <w:t>-</w:t>
            </w:r>
            <w:r>
              <w:rPr>
                <w:rFonts w:hint="eastAsia" w:ascii="Times New Roman" w:hAnsi="Times New Roman" w:eastAsia="宋体" w:cs="Times New Roman"/>
                <w:sz w:val="21"/>
                <w:szCs w:val="21"/>
                <w:lang w:val="en-US" w:eastAsia="zh-CN"/>
              </w:rPr>
              <w:t>--查：管理手册中4.3.1适用范围</w:t>
            </w:r>
          </w:p>
          <w:p>
            <w:pPr>
              <w:pStyle w:val="15"/>
              <w:spacing w:line="24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环保固液分离设备（压滤机、柱塞泵）的销售（法律法规要求范围除外）所涉及的相关管理活动。</w:t>
            </w:r>
          </w:p>
          <w:p>
            <w:pPr>
              <w:pStyle w:val="15"/>
              <w:spacing w:line="240" w:lineRule="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即：</w:t>
            </w:r>
          </w:p>
          <w:p>
            <w:pPr>
              <w:pStyle w:val="15"/>
              <w:spacing w:line="240" w:lineRule="auto"/>
              <w:rPr>
                <w:rFonts w:hint="default" w:ascii="Times New Roman" w:hAnsi="Times New Roman" w:eastAsia="宋体" w:cs="Times New Roman"/>
                <w:sz w:val="21"/>
                <w:szCs w:val="21"/>
                <w:lang w:val="en-US" w:eastAsia="zh-CN"/>
              </w:rPr>
            </w:pPr>
            <w:bookmarkStart w:id="3" w:name="审核范围"/>
            <w:r>
              <w:rPr>
                <w:rFonts w:hint="default" w:ascii="Times New Roman" w:hAnsi="Times New Roman" w:eastAsia="宋体" w:cs="Times New Roman"/>
                <w:sz w:val="21"/>
                <w:szCs w:val="21"/>
                <w:lang w:val="en-US" w:eastAsia="zh-CN"/>
              </w:rPr>
              <w:t>E：环保固液分离设备（压滤机、柱塞泵）的销售（法规强制要求范围除外）所涉及的相关环境管理活动。</w:t>
            </w:r>
          </w:p>
          <w:p>
            <w:pPr>
              <w:pStyle w:val="15"/>
              <w:spacing w:line="24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O：环保固液分离设备（压滤机、柱塞泵）的销售（法规强制要求范围除外）所涉及的相关职业健康安全管理活动。</w:t>
            </w:r>
            <w:bookmarkEnd w:id="3"/>
          </w:p>
          <w:p>
            <w:pPr>
              <w:pStyle w:val="15"/>
              <w:spacing w:line="240" w:lineRule="auto"/>
              <w:rPr>
                <w:rFonts w:hint="default" w:ascii="Times New Roman" w:hAnsi="Times New Roman"/>
                <w:sz w:val="21"/>
                <w:szCs w:val="21"/>
                <w:lang w:val="en-US" w:eastAsia="zh-CN"/>
              </w:rPr>
            </w:pPr>
            <w:r>
              <w:rPr>
                <w:rFonts w:hint="eastAsia" w:ascii="Times New Roman" w:hAnsi="Times New Roman"/>
                <w:sz w:val="21"/>
                <w:szCs w:val="21"/>
                <w:lang w:val="en-US" w:eastAsia="zh-CN"/>
              </w:rPr>
              <w:t>物理边界：</w:t>
            </w:r>
          </w:p>
          <w:p>
            <w:pPr>
              <w:pStyle w:val="15"/>
              <w:spacing w:line="240" w:lineRule="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注册地址：</w:t>
            </w:r>
            <w:bookmarkStart w:id="4" w:name="生产地址"/>
            <w:r>
              <w:rPr>
                <w:rFonts w:hint="default" w:ascii="Times New Roman" w:hAnsi="Times New Roman" w:eastAsia="宋体" w:cs="Times New Roman"/>
                <w:sz w:val="21"/>
                <w:szCs w:val="21"/>
                <w:lang w:val="en-US" w:eastAsia="zh-CN"/>
              </w:rPr>
              <w:t>福建省泉州市南安市东田镇宏茂科技园</w:t>
            </w:r>
            <w:bookmarkEnd w:id="4"/>
            <w:r>
              <w:rPr>
                <w:rFonts w:hint="eastAsia" w:ascii="Times New Roman" w:hAnsi="Times New Roman" w:cs="Times New Roman"/>
                <w:sz w:val="21"/>
                <w:szCs w:val="21"/>
                <w:lang w:val="en-US" w:eastAsia="zh-CN"/>
              </w:rPr>
              <w:t>；</w:t>
            </w:r>
          </w:p>
          <w:p>
            <w:pPr>
              <w:pStyle w:val="15"/>
              <w:spacing w:line="240" w:lineRule="auto"/>
              <w:rPr>
                <w:rFonts w:hint="default" w:ascii="Times New Roman" w:hAnsi="Times New Roman"/>
                <w:sz w:val="21"/>
                <w:szCs w:val="21"/>
                <w:lang w:val="en-US" w:eastAsia="zh-CN"/>
              </w:rPr>
            </w:pPr>
            <w:r>
              <w:rPr>
                <w:rFonts w:hint="eastAsia" w:ascii="Times New Roman" w:hAnsi="Times New Roman" w:cs="Times New Roman"/>
                <w:sz w:val="21"/>
                <w:szCs w:val="21"/>
                <w:lang w:val="en-US" w:eastAsia="zh-CN"/>
              </w:rPr>
              <w:t>经营</w:t>
            </w:r>
            <w:r>
              <w:rPr>
                <w:rFonts w:hint="eastAsia" w:ascii="Times New Roman" w:hAnsi="Times New Roman" w:eastAsia="宋体" w:cs="Times New Roman"/>
                <w:sz w:val="21"/>
                <w:szCs w:val="21"/>
                <w:lang w:val="en-US" w:eastAsia="zh-CN"/>
              </w:rPr>
              <w:t>及办公地址：</w:t>
            </w:r>
            <w:r>
              <w:rPr>
                <w:rFonts w:hint="default" w:ascii="Times New Roman" w:hAnsi="Times New Roman" w:eastAsia="宋体" w:cs="Times New Roman"/>
                <w:sz w:val="21"/>
                <w:szCs w:val="21"/>
                <w:lang w:val="en-US" w:eastAsia="zh-CN"/>
              </w:rPr>
              <w:t>福建省泉州市南安市东田镇宏茂科技园</w:t>
            </w:r>
            <w:r>
              <w:rPr>
                <w:rFonts w:hint="eastAsia" w:ascii="Times New Roman" w:hAnsi="Times New Roman" w:cs="Times New Roman"/>
                <w:sz w:val="21"/>
                <w:szCs w:val="21"/>
                <w:lang w:val="en-US" w:eastAsia="zh-CN"/>
              </w:rPr>
              <w:t>；</w:t>
            </w:r>
          </w:p>
          <w:p>
            <w:pPr>
              <w:spacing w:line="240" w:lineRule="auto"/>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经识别的外包过程：</w:t>
            </w:r>
            <w:r>
              <w:rPr>
                <w:rFonts w:hint="eastAsia" w:cs="Times New Roman"/>
                <w:sz w:val="21"/>
                <w:szCs w:val="21"/>
                <w:lang w:val="en-US" w:eastAsia="zh-CN"/>
              </w:rPr>
              <w:t>负责人表述，</w:t>
            </w:r>
            <w:r>
              <w:rPr>
                <w:rFonts w:hint="eastAsia" w:ascii="宋体" w:hAnsi="宋体" w:cs="宋体"/>
                <w:kern w:val="0"/>
                <w:szCs w:val="21"/>
              </w:rPr>
              <w:t>暂无外包过程发生</w:t>
            </w:r>
            <w:r>
              <w:rPr>
                <w:rFonts w:hint="eastAsia" w:ascii="宋体" w:hAnsi="宋体" w:cs="宋体"/>
                <w:szCs w:val="21"/>
              </w:rPr>
              <w:t>。</w:t>
            </w:r>
          </w:p>
          <w:p>
            <w:pPr>
              <w:pStyle w:val="15"/>
              <w:spacing w:line="240" w:lineRule="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lang w:val="en-US" w:eastAsia="zh-CN"/>
              </w:rPr>
              <w:t>查组织机构图：覆盖的部门为总经理领导下的综合部、</w:t>
            </w:r>
            <w:r>
              <w:rPr>
                <w:rFonts w:hint="eastAsia" w:ascii="Times New Roman" w:hAnsi="Times New Roman" w:cs="Times New Roman"/>
                <w:sz w:val="21"/>
                <w:szCs w:val="21"/>
                <w:lang w:val="en-US" w:eastAsia="zh-CN"/>
              </w:rPr>
              <w:t>销售</w:t>
            </w:r>
            <w:r>
              <w:rPr>
                <w:rFonts w:hint="eastAsia" w:ascii="Times New Roman" w:hAnsi="Times New Roman" w:eastAsia="宋体" w:cs="Times New Roman"/>
                <w:sz w:val="21"/>
                <w:szCs w:val="21"/>
                <w:lang w:val="en-US" w:eastAsia="zh-CN"/>
              </w:rPr>
              <w:t>部组成。</w:t>
            </w:r>
          </w:p>
          <w:p>
            <w:pPr>
              <w:pStyle w:val="15"/>
              <w:spacing w:line="24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——针对上述范围再一次与</w:t>
            </w:r>
            <w:r>
              <w:rPr>
                <w:rFonts w:hint="eastAsia" w:ascii="Times New Roman" w:hAnsi="Times New Roman" w:cs="Times New Roman"/>
                <w:sz w:val="21"/>
                <w:szCs w:val="21"/>
                <w:lang w:val="en-US" w:eastAsia="zh-CN"/>
              </w:rPr>
              <w:t>管代</w:t>
            </w:r>
            <w:r>
              <w:rPr>
                <w:rFonts w:hint="eastAsia" w:ascii="Times New Roman" w:hAnsi="Times New Roman" w:eastAsia="宋体" w:cs="Times New Roman"/>
                <w:sz w:val="21"/>
                <w:szCs w:val="21"/>
                <w:lang w:val="en-US" w:eastAsia="zh-CN"/>
              </w:rPr>
              <w:t>进行了确认。</w:t>
            </w:r>
          </w:p>
          <w:p>
            <w:pPr>
              <w:spacing w:line="240" w:lineRule="auto"/>
              <w:jc w:val="left"/>
            </w:pPr>
            <w:r>
              <w:rPr>
                <w:rFonts w:hint="eastAsia"/>
                <w:lang w:val="en-US" w:eastAsia="zh-CN"/>
              </w:rPr>
              <w:t>--</w:t>
            </w:r>
            <w:r>
              <w:rPr>
                <w:rFonts w:hint="eastAsia"/>
              </w:rPr>
              <w:t>建立管理体系的目的：</w:t>
            </w:r>
          </w:p>
          <w:p>
            <w:pPr>
              <w:spacing w:line="240" w:lineRule="auto"/>
              <w:jc w:val="left"/>
              <w:rPr>
                <w:rFonts w:hint="eastAsia" w:eastAsia="宋体"/>
                <w:lang w:eastAsia="zh-CN"/>
              </w:rPr>
            </w:pPr>
            <w:r>
              <w:rPr>
                <w:rFonts w:hint="eastAsia"/>
              </w:rPr>
              <w:t>公司领导说明根据行业要求建立管理体系，也是为了进一步规范企业的管理</w:t>
            </w:r>
            <w:r>
              <w:rPr>
                <w:rFonts w:hint="eastAsia"/>
                <w:lang w:eastAsia="zh-CN"/>
              </w:rPr>
              <w:t>。</w:t>
            </w:r>
          </w:p>
          <w:p>
            <w:pPr>
              <w:pStyle w:val="15"/>
              <w:spacing w:line="240" w:lineRule="auto"/>
              <w:rPr>
                <w:rFonts w:hint="eastAsia" w:ascii="宋体" w:hAnsi="宋体"/>
                <w:sz w:val="21"/>
                <w:szCs w:val="21"/>
                <w:lang w:val="en-US" w:eastAsia="zh-CN"/>
              </w:rPr>
            </w:pPr>
            <w:r>
              <w:rPr>
                <w:rFonts w:hint="eastAsia" w:ascii="Times New Roman" w:hAnsi="Times New Roman" w:eastAsia="宋体" w:cs="Times New Roman"/>
                <w:sz w:val="21"/>
                <w:szCs w:val="21"/>
                <w:lang w:val="en-US" w:eastAsia="zh-CN"/>
              </w:rPr>
              <w:t>--</w:t>
            </w:r>
            <w:r>
              <w:rPr>
                <w:rFonts w:hint="eastAsia" w:ascii="宋体" w:hAnsi="宋体"/>
                <w:sz w:val="21"/>
                <w:szCs w:val="21"/>
                <w:lang w:val="en-US" w:eastAsia="zh-CN"/>
              </w:rPr>
              <w:t>建立了管理体系文件，包括：管理手册、程序文件、管理制度汇编--等。</w:t>
            </w:r>
          </w:p>
          <w:p>
            <w:pPr>
              <w:pStyle w:val="15"/>
              <w:spacing w:line="240" w:lineRule="auto"/>
              <w:rPr>
                <w:rFonts w:hint="eastAsia" w:ascii="宋体" w:hAnsi="宋体"/>
                <w:sz w:val="21"/>
                <w:szCs w:val="21"/>
                <w:lang w:val="en-US" w:eastAsia="zh-CN"/>
              </w:rPr>
            </w:pPr>
            <w:r>
              <w:rPr>
                <w:rFonts w:hint="eastAsia" w:ascii="宋体" w:hAnsi="宋体"/>
                <w:sz w:val="21"/>
                <w:szCs w:val="21"/>
                <w:lang w:val="en-US" w:eastAsia="zh-CN"/>
              </w:rPr>
              <w:t>在管理手册中包括ES整合的方针和目标、组织机构、职能分配表、各部门职责、流程图、管理体系要求等。</w:t>
            </w:r>
          </w:p>
          <w:p>
            <w:pPr>
              <w:pStyle w:val="15"/>
              <w:spacing w:line="240" w:lineRule="auto"/>
              <w:rPr>
                <w:rFonts w:hint="eastAsia" w:ascii="宋体" w:hAnsi="宋体"/>
                <w:sz w:val="21"/>
                <w:szCs w:val="21"/>
                <w:lang w:val="en-US" w:eastAsia="zh-CN"/>
              </w:rPr>
            </w:pPr>
            <w:r>
              <w:rPr>
                <w:rFonts w:hint="eastAsia" w:ascii="宋体" w:hAnsi="宋体"/>
                <w:sz w:val="21"/>
                <w:szCs w:val="21"/>
                <w:lang w:val="en-US" w:eastAsia="zh-CN"/>
              </w:rPr>
              <w:t>--主要产品实现过程为：</w:t>
            </w:r>
          </w:p>
          <w:p>
            <w:pPr>
              <w:pStyle w:val="15"/>
              <w:spacing w:line="240" w:lineRule="auto"/>
              <w:rPr>
                <w:rFonts w:hint="eastAsia" w:ascii="宋体" w:hAnsi="宋体"/>
                <w:sz w:val="21"/>
                <w:szCs w:val="21"/>
                <w:lang w:val="en-US" w:eastAsia="zh-CN"/>
              </w:rPr>
            </w:pPr>
            <w:r>
              <w:rPr>
                <w:rFonts w:hint="eastAsia" w:ascii="宋体" w:hAnsi="宋体"/>
                <w:sz w:val="21"/>
                <w:szCs w:val="21"/>
                <w:lang w:val="en-US" w:eastAsia="zh-CN"/>
              </w:rPr>
              <w:t>开发客户</w:t>
            </w:r>
            <w:r>
              <w:rPr>
                <w:rFonts w:hint="eastAsia" w:ascii="宋体" w:hAnsi="宋体"/>
                <w:sz w:val="21"/>
                <w:szCs w:val="21"/>
              </w:rPr>
              <w:t>→</w:t>
            </w:r>
            <w:r>
              <w:rPr>
                <w:rFonts w:hint="eastAsia" w:ascii="宋体" w:hAnsi="宋体"/>
                <w:sz w:val="21"/>
                <w:szCs w:val="21"/>
                <w:lang w:val="en-US" w:eastAsia="zh-CN"/>
              </w:rPr>
              <w:t>客户沟通</w:t>
            </w:r>
            <w:r>
              <w:rPr>
                <w:rFonts w:hint="eastAsia" w:ascii="宋体" w:hAnsi="宋体"/>
                <w:sz w:val="21"/>
                <w:szCs w:val="21"/>
              </w:rPr>
              <w:t>→</w:t>
            </w:r>
            <w:r>
              <w:rPr>
                <w:rFonts w:hint="eastAsia" w:ascii="宋体" w:hAnsi="宋体"/>
                <w:sz w:val="21"/>
                <w:szCs w:val="21"/>
                <w:lang w:val="en-US" w:eastAsia="zh-CN"/>
              </w:rPr>
              <w:t>联系供方</w:t>
            </w:r>
            <w:r>
              <w:rPr>
                <w:rFonts w:hint="eastAsia" w:ascii="宋体" w:hAnsi="宋体"/>
                <w:sz w:val="21"/>
                <w:szCs w:val="21"/>
              </w:rPr>
              <w:t>→</w:t>
            </w:r>
            <w:r>
              <w:rPr>
                <w:rFonts w:hint="eastAsia" w:ascii="宋体" w:hAnsi="宋体"/>
                <w:sz w:val="21"/>
                <w:szCs w:val="21"/>
                <w:lang w:val="en-US" w:eastAsia="zh-CN"/>
              </w:rPr>
              <w:t>询价</w:t>
            </w:r>
            <w:r>
              <w:rPr>
                <w:rFonts w:hint="eastAsia" w:ascii="宋体" w:hAnsi="宋体"/>
                <w:sz w:val="21"/>
                <w:szCs w:val="21"/>
              </w:rPr>
              <w:t>→</w:t>
            </w:r>
            <w:r>
              <w:rPr>
                <w:rFonts w:hint="eastAsia" w:ascii="宋体" w:hAnsi="宋体"/>
                <w:sz w:val="21"/>
                <w:szCs w:val="21"/>
                <w:lang w:val="en-US" w:eastAsia="zh-CN"/>
              </w:rPr>
              <w:t>客户确认</w:t>
            </w:r>
            <w:r>
              <w:rPr>
                <w:rFonts w:hint="eastAsia" w:ascii="宋体" w:hAnsi="宋体"/>
                <w:sz w:val="21"/>
                <w:szCs w:val="21"/>
              </w:rPr>
              <w:t>→</w:t>
            </w:r>
            <w:r>
              <w:rPr>
                <w:rFonts w:hint="eastAsia" w:ascii="宋体" w:hAnsi="宋体"/>
                <w:sz w:val="21"/>
                <w:szCs w:val="21"/>
                <w:lang w:val="en-US" w:eastAsia="zh-CN"/>
              </w:rPr>
              <w:t>下订单</w:t>
            </w:r>
            <w:r>
              <w:rPr>
                <w:rFonts w:hint="eastAsia" w:ascii="宋体" w:hAnsi="宋体"/>
                <w:sz w:val="21"/>
                <w:szCs w:val="21"/>
              </w:rPr>
              <w:t>→</w:t>
            </w:r>
            <w:r>
              <w:rPr>
                <w:rFonts w:hint="eastAsia" w:ascii="宋体" w:hAnsi="宋体"/>
                <w:sz w:val="21"/>
                <w:szCs w:val="21"/>
                <w:lang w:val="en-US" w:eastAsia="zh-CN"/>
              </w:rPr>
              <w:t>跟踪交货</w:t>
            </w:r>
            <w:r>
              <w:rPr>
                <w:rFonts w:hint="eastAsia" w:ascii="宋体" w:hAnsi="宋体"/>
                <w:sz w:val="21"/>
                <w:szCs w:val="21"/>
              </w:rPr>
              <w:t>→</w:t>
            </w:r>
            <w:r>
              <w:rPr>
                <w:rFonts w:hint="eastAsia" w:ascii="宋体" w:hAnsi="宋体"/>
                <w:sz w:val="21"/>
                <w:szCs w:val="21"/>
                <w:lang w:val="en-US" w:eastAsia="zh-CN"/>
              </w:rPr>
              <w:t>对帐收款</w:t>
            </w:r>
            <w:r>
              <w:rPr>
                <w:rFonts w:hint="eastAsia" w:ascii="宋体" w:hAnsi="宋体"/>
                <w:sz w:val="21"/>
                <w:szCs w:val="21"/>
              </w:rPr>
              <w:t>→</w:t>
            </w:r>
            <w:r>
              <w:rPr>
                <w:rFonts w:hint="eastAsia" w:ascii="宋体" w:hAnsi="宋体"/>
                <w:sz w:val="21"/>
                <w:szCs w:val="21"/>
                <w:lang w:val="en-US" w:eastAsia="zh-CN"/>
              </w:rPr>
              <w:t>售后服务</w:t>
            </w:r>
          </w:p>
          <w:p>
            <w:pPr>
              <w:pStyle w:val="15"/>
              <w:spacing w:line="240" w:lineRule="auto"/>
              <w:rPr>
                <w:rFonts w:hint="eastAsia" w:ascii="Times New Roman" w:hAnsi="Times New Roman" w:eastAsia="宋体" w:cs="Times New Roman"/>
                <w:sz w:val="21"/>
                <w:szCs w:val="21"/>
                <w:lang w:val="en-US" w:eastAsia="zh-CN"/>
              </w:rPr>
            </w:pPr>
          </w:p>
          <w:p>
            <w:pPr>
              <w:spacing w:line="240" w:lineRule="auto"/>
            </w:pPr>
            <w:r>
              <w:rPr>
                <w:rFonts w:hint="eastAsia" w:ascii="Times New Roman" w:hAnsi="Times New Roman" w:eastAsia="宋体" w:cs="Times New Roman"/>
                <w:sz w:val="21"/>
                <w:szCs w:val="21"/>
                <w:lang w:val="en-US" w:eastAsia="zh-CN"/>
              </w:rPr>
              <w:t>——上述经本次</w:t>
            </w:r>
            <w:r>
              <w:rPr>
                <w:rFonts w:hint="eastAsia" w:ascii="Times New Roman" w:hAnsi="Times New Roman" w:cs="Times New Roman"/>
                <w:sz w:val="21"/>
                <w:szCs w:val="21"/>
                <w:lang w:val="en-US" w:eastAsia="zh-CN"/>
              </w:rPr>
              <w:t>远程</w:t>
            </w:r>
            <w:r>
              <w:rPr>
                <w:rFonts w:hint="eastAsia" w:ascii="Times New Roman" w:hAnsi="Times New Roman" w:eastAsia="宋体" w:cs="Times New Roman"/>
                <w:sz w:val="21"/>
                <w:szCs w:val="21"/>
                <w:lang w:val="en-US" w:eastAsia="zh-CN"/>
              </w:rPr>
              <w:t>审核确认有效</w:t>
            </w:r>
            <w:r>
              <w:rPr>
                <w:rFonts w:hint="eastAsia" w:ascii="Times New Roman" w:hAnsi="Times New Roman" w:cs="Times New Roman"/>
                <w:sz w:val="21"/>
                <w:szCs w:val="21"/>
                <w:lang w:val="en-US" w:eastAsia="zh-CN"/>
              </w:rPr>
              <w:t>。</w:t>
            </w:r>
          </w:p>
        </w:tc>
        <w:tc>
          <w:tcPr>
            <w:tcW w:w="1585" w:type="dxa"/>
          </w:tcPr>
          <w:p>
            <w:pPr>
              <w:spacing w:line="24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pPr>
            <w:r>
              <w:rPr>
                <w:rFonts w:hint="eastAsia"/>
                <w:sz w:val="21"/>
                <w:szCs w:val="21"/>
              </w:rPr>
              <w:t>组织方针、目标的适宜性</w:t>
            </w:r>
            <w:r>
              <w:rPr>
                <w:rFonts w:hint="eastAsia"/>
                <w:sz w:val="21"/>
                <w:szCs w:val="21"/>
                <w:lang w:val="en-US" w:eastAsia="zh-CN"/>
              </w:rPr>
              <w:t>及与适用的法定要求的符合性；</w:t>
            </w:r>
          </w:p>
        </w:tc>
        <w:tc>
          <w:tcPr>
            <w:tcW w:w="960" w:type="dxa"/>
          </w:tcPr>
          <w:p>
            <w:pPr>
              <w:spacing w:line="240" w:lineRule="auto"/>
            </w:pPr>
            <w:r>
              <w:rPr>
                <w:rFonts w:hint="eastAsia"/>
                <w:sz w:val="21"/>
                <w:szCs w:val="21"/>
                <w:lang w:val="en-US" w:eastAsia="zh-CN"/>
              </w:rPr>
              <w:t>ES5.2、6.2</w:t>
            </w:r>
          </w:p>
        </w:tc>
        <w:tc>
          <w:tcPr>
            <w:tcW w:w="10004" w:type="dxa"/>
          </w:tcPr>
          <w:p>
            <w:pPr>
              <w:pStyle w:val="15"/>
              <w:spacing w:line="240" w:lineRule="auto"/>
              <w:rPr>
                <w:rFonts w:ascii="宋体" w:hAnsi="宋体"/>
                <w:sz w:val="21"/>
                <w:szCs w:val="21"/>
              </w:rPr>
            </w:pPr>
            <w:r>
              <w:rPr>
                <w:rFonts w:hint="eastAsia" w:ascii="宋体" w:hAnsi="宋体"/>
                <w:sz w:val="21"/>
                <w:szCs w:val="21"/>
                <w:lang w:val="en-US" w:eastAsia="zh-CN"/>
              </w:rPr>
              <w:t>--</w:t>
            </w:r>
            <w:r>
              <w:rPr>
                <w:rFonts w:hint="eastAsia" w:ascii="宋体" w:hAnsi="宋体"/>
                <w:sz w:val="21"/>
                <w:szCs w:val="21"/>
              </w:rPr>
              <w:t>在管理手册中建立公司的环境和职业健康安全管理方针和目标，基本适宜。</w:t>
            </w:r>
          </w:p>
          <w:p>
            <w:pPr>
              <w:pStyle w:val="15"/>
              <w:spacing w:line="240" w:lineRule="auto"/>
              <w:rPr>
                <w:rFonts w:hint="eastAsia" w:ascii="宋体" w:hAnsi="宋体"/>
                <w:sz w:val="21"/>
                <w:szCs w:val="21"/>
                <w:lang w:eastAsia="zh-CN"/>
              </w:rPr>
            </w:pPr>
            <w:r>
              <w:rPr>
                <w:rFonts w:hint="eastAsia" w:ascii="宋体" w:hAnsi="宋体"/>
                <w:sz w:val="21"/>
                <w:szCs w:val="21"/>
                <w:lang w:val="en-US" w:eastAsia="zh-CN"/>
              </w:rPr>
              <w:t>--</w:t>
            </w:r>
            <w:r>
              <w:rPr>
                <w:rFonts w:hint="eastAsia" w:ascii="宋体" w:hAnsi="宋体"/>
                <w:sz w:val="21"/>
                <w:szCs w:val="21"/>
              </w:rPr>
              <w:t>ＥＳ方针与公司战略相适宜。</w:t>
            </w:r>
            <w:r>
              <w:rPr>
                <w:rFonts w:hint="eastAsia" w:ascii="宋体" w:hAnsi="宋体"/>
                <w:sz w:val="21"/>
                <w:szCs w:val="21"/>
                <w:lang w:eastAsia="zh-CN"/>
              </w:rPr>
              <w:t>——遵纪守法，爱护环境。安全第一，持续改进。</w:t>
            </w:r>
          </w:p>
          <w:p>
            <w:pPr>
              <w:pStyle w:val="15"/>
              <w:spacing w:line="240" w:lineRule="auto"/>
              <w:rPr>
                <w:rFonts w:hint="eastAsia" w:ascii="宋体" w:hAnsi="宋体"/>
                <w:sz w:val="21"/>
                <w:szCs w:val="21"/>
              </w:rPr>
            </w:pPr>
            <w:r>
              <w:rPr>
                <w:rFonts w:hint="eastAsia" w:ascii="宋体" w:hAnsi="宋体"/>
                <w:sz w:val="21"/>
                <w:szCs w:val="21"/>
                <w:lang w:val="en-US" w:eastAsia="zh-CN"/>
              </w:rPr>
              <w:t>--</w:t>
            </w:r>
            <w:r>
              <w:rPr>
                <w:rFonts w:hint="eastAsia" w:ascii="宋体" w:hAnsi="宋体"/>
                <w:sz w:val="21"/>
                <w:szCs w:val="21"/>
              </w:rPr>
              <w:t>目标可测量。</w:t>
            </w:r>
          </w:p>
          <w:p>
            <w:pPr>
              <w:pStyle w:val="15"/>
              <w:spacing w:line="240" w:lineRule="auto"/>
              <w:rPr>
                <w:rFonts w:hint="eastAsia" w:ascii="宋体" w:hAnsi="宋体"/>
                <w:sz w:val="21"/>
                <w:szCs w:val="21"/>
                <w:lang w:eastAsia="zh-CN"/>
              </w:rPr>
            </w:pPr>
            <w:r>
              <w:rPr>
                <w:rFonts w:hint="eastAsia" w:ascii="宋体" w:hAnsi="宋体"/>
                <w:sz w:val="21"/>
                <w:szCs w:val="21"/>
                <w:lang w:eastAsia="zh-CN"/>
              </w:rPr>
              <w:t>环境目标：</w:t>
            </w:r>
          </w:p>
          <w:p>
            <w:pPr>
              <w:pStyle w:val="15"/>
              <w:spacing w:line="240" w:lineRule="auto"/>
              <w:rPr>
                <w:rFonts w:hint="eastAsia" w:ascii="宋体" w:hAnsi="宋体"/>
                <w:sz w:val="21"/>
                <w:szCs w:val="21"/>
                <w:lang w:eastAsia="zh-CN"/>
              </w:rPr>
            </w:pPr>
            <w:r>
              <w:rPr>
                <w:rFonts w:hint="eastAsia" w:ascii="宋体" w:hAnsi="宋体"/>
                <w:sz w:val="21"/>
                <w:szCs w:val="21"/>
                <w:lang w:eastAsia="zh-CN"/>
              </w:rPr>
              <w:t>1.固体废弃物分类管理，处置率100%；</w:t>
            </w:r>
          </w:p>
          <w:p>
            <w:pPr>
              <w:pStyle w:val="15"/>
              <w:spacing w:line="240" w:lineRule="auto"/>
              <w:rPr>
                <w:rFonts w:hint="eastAsia" w:ascii="宋体" w:hAnsi="宋体"/>
                <w:sz w:val="21"/>
                <w:szCs w:val="21"/>
                <w:lang w:eastAsia="zh-CN"/>
              </w:rPr>
            </w:pPr>
            <w:r>
              <w:rPr>
                <w:rFonts w:hint="eastAsia" w:ascii="宋体" w:hAnsi="宋体"/>
                <w:sz w:val="21"/>
                <w:szCs w:val="21"/>
                <w:lang w:eastAsia="zh-CN"/>
              </w:rPr>
              <w:t>2.杜绝火灾事故。</w:t>
            </w:r>
          </w:p>
          <w:p>
            <w:pPr>
              <w:pStyle w:val="15"/>
              <w:spacing w:line="240" w:lineRule="auto"/>
              <w:rPr>
                <w:rFonts w:hint="eastAsia" w:ascii="宋体" w:hAnsi="宋体"/>
                <w:sz w:val="21"/>
                <w:szCs w:val="21"/>
                <w:lang w:eastAsia="zh-CN"/>
              </w:rPr>
            </w:pPr>
            <w:r>
              <w:rPr>
                <w:rFonts w:hint="eastAsia" w:ascii="宋体" w:hAnsi="宋体"/>
                <w:sz w:val="21"/>
                <w:szCs w:val="21"/>
                <w:lang w:eastAsia="zh-CN"/>
              </w:rPr>
              <w:t>职业健康安全目标：</w:t>
            </w:r>
          </w:p>
          <w:p>
            <w:pPr>
              <w:pStyle w:val="15"/>
              <w:spacing w:line="240" w:lineRule="auto"/>
              <w:rPr>
                <w:rFonts w:hint="eastAsia" w:ascii="宋体" w:hAnsi="宋体"/>
                <w:sz w:val="21"/>
                <w:szCs w:val="21"/>
                <w:lang w:eastAsia="zh-CN"/>
              </w:rPr>
            </w:pPr>
            <w:r>
              <w:rPr>
                <w:rFonts w:hint="eastAsia" w:ascii="宋体" w:hAnsi="宋体"/>
                <w:sz w:val="21"/>
                <w:szCs w:val="21"/>
                <w:lang w:eastAsia="zh-CN"/>
              </w:rPr>
              <w:t>触电</w:t>
            </w:r>
            <w:r>
              <w:rPr>
                <w:rFonts w:hint="eastAsia" w:ascii="宋体" w:hAnsi="宋体"/>
                <w:sz w:val="21"/>
                <w:szCs w:val="21"/>
                <w:lang w:val="en-US" w:eastAsia="zh-CN"/>
              </w:rPr>
              <w:t>事故为0次/年;</w:t>
            </w:r>
          </w:p>
          <w:p>
            <w:pPr>
              <w:pStyle w:val="15"/>
              <w:spacing w:line="240" w:lineRule="auto"/>
              <w:rPr>
                <w:rFonts w:hint="eastAsia" w:ascii="宋体" w:hAnsi="宋体"/>
                <w:sz w:val="21"/>
                <w:szCs w:val="21"/>
                <w:lang w:eastAsia="zh-CN"/>
              </w:rPr>
            </w:pPr>
            <w:r>
              <w:rPr>
                <w:rFonts w:hint="eastAsia" w:ascii="宋体" w:hAnsi="宋体"/>
                <w:sz w:val="21"/>
                <w:szCs w:val="21"/>
                <w:lang w:eastAsia="zh-CN"/>
              </w:rPr>
              <w:t>火灾事故</w:t>
            </w:r>
            <w:r>
              <w:rPr>
                <w:rFonts w:hint="eastAsia" w:ascii="宋体" w:hAnsi="宋体"/>
                <w:sz w:val="21"/>
                <w:szCs w:val="21"/>
                <w:lang w:val="en-US" w:eastAsia="zh-CN"/>
              </w:rPr>
              <w:t>为0次/年</w:t>
            </w:r>
            <w:r>
              <w:rPr>
                <w:rFonts w:hint="eastAsia" w:ascii="宋体" w:hAnsi="宋体"/>
                <w:sz w:val="21"/>
                <w:szCs w:val="21"/>
                <w:lang w:eastAsia="zh-CN"/>
              </w:rPr>
              <w:t>；</w:t>
            </w:r>
          </w:p>
          <w:p>
            <w:pPr>
              <w:pStyle w:val="15"/>
              <w:numPr>
                <w:ilvl w:val="0"/>
                <w:numId w:val="3"/>
              </w:numPr>
              <w:spacing w:line="240" w:lineRule="auto"/>
              <w:rPr>
                <w:rFonts w:hint="eastAsia" w:ascii="宋体" w:hAnsi="宋体"/>
                <w:sz w:val="21"/>
                <w:szCs w:val="21"/>
                <w:lang w:val="en-US" w:eastAsia="zh-CN"/>
              </w:rPr>
            </w:pPr>
            <w:r>
              <w:rPr>
                <w:rFonts w:hint="eastAsia" w:ascii="宋体" w:hAnsi="宋体"/>
                <w:sz w:val="21"/>
                <w:szCs w:val="21"/>
                <w:lang w:val="en-US" w:eastAsia="zh-CN"/>
              </w:rPr>
              <w:t>交通意外事故为0次/年</w:t>
            </w:r>
          </w:p>
          <w:p>
            <w:pPr>
              <w:pStyle w:val="15"/>
              <w:numPr>
                <w:ilvl w:val="0"/>
                <w:numId w:val="0"/>
              </w:numPr>
              <w:spacing w:line="240" w:lineRule="auto"/>
              <w:rPr>
                <w:rFonts w:ascii="宋体" w:hAnsi="宋体"/>
                <w:sz w:val="21"/>
                <w:szCs w:val="21"/>
              </w:rPr>
            </w:pPr>
            <w:r>
              <w:rPr>
                <w:rFonts w:hint="eastAsia" w:ascii="宋体" w:hAnsi="宋体"/>
                <w:sz w:val="21"/>
                <w:szCs w:val="21"/>
                <w:lang w:val="en-US" w:eastAsia="zh-CN"/>
              </w:rPr>
              <w:t>--</w:t>
            </w:r>
            <w:r>
              <w:rPr>
                <w:rFonts w:hint="eastAsia" w:ascii="宋体" w:hAnsi="宋体"/>
                <w:sz w:val="21"/>
                <w:szCs w:val="21"/>
              </w:rPr>
              <w:t>通过发放文件、会议（每周部门会议，每月公司会议）、培训等方式向员工传达，使得员工理解和应用。</w:t>
            </w:r>
          </w:p>
          <w:p>
            <w:pPr>
              <w:pStyle w:val="15"/>
              <w:spacing w:line="240" w:lineRule="auto"/>
              <w:rPr>
                <w:rFonts w:ascii="宋体" w:hAnsi="宋体"/>
                <w:sz w:val="21"/>
                <w:szCs w:val="21"/>
              </w:rPr>
            </w:pPr>
            <w:r>
              <w:rPr>
                <w:rFonts w:hint="eastAsia" w:ascii="宋体" w:hAnsi="宋体"/>
                <w:sz w:val="21"/>
                <w:szCs w:val="21"/>
                <w:lang w:val="en-US" w:eastAsia="zh-CN"/>
              </w:rPr>
              <w:t>--</w:t>
            </w:r>
            <w:r>
              <w:rPr>
                <w:rFonts w:hint="eastAsia" w:ascii="宋体" w:hAnsi="宋体"/>
                <w:sz w:val="21"/>
                <w:szCs w:val="21"/>
              </w:rPr>
              <w:t>建立管理体系，以实现公司的目标。</w:t>
            </w:r>
          </w:p>
          <w:p>
            <w:pPr>
              <w:pStyle w:val="15"/>
              <w:spacing w:line="240" w:lineRule="auto"/>
              <w:rPr>
                <w:rFonts w:ascii="宋体" w:hAnsi="宋体"/>
                <w:sz w:val="21"/>
                <w:szCs w:val="21"/>
              </w:rPr>
            </w:pPr>
            <w:r>
              <w:rPr>
                <w:rFonts w:hint="eastAsia" w:ascii="宋体" w:hAnsi="宋体"/>
                <w:sz w:val="21"/>
                <w:szCs w:val="21"/>
                <w:lang w:val="en-US" w:eastAsia="zh-CN"/>
              </w:rPr>
              <w:t>--</w:t>
            </w:r>
            <w:r>
              <w:rPr>
                <w:rFonts w:hint="eastAsia" w:ascii="宋体" w:hAnsi="宋体"/>
                <w:sz w:val="21"/>
                <w:szCs w:val="21"/>
              </w:rPr>
              <w:t>管理评审中对适宜性进行评审。</w:t>
            </w:r>
          </w:p>
          <w:p>
            <w:pPr>
              <w:spacing w:line="240" w:lineRule="auto"/>
            </w:pPr>
            <w:r>
              <w:rPr>
                <w:rFonts w:hint="eastAsia" w:ascii="宋体" w:hAnsi="宋体"/>
                <w:sz w:val="21"/>
                <w:szCs w:val="21"/>
              </w:rPr>
              <w:t>——</w:t>
            </w:r>
            <w:r>
              <w:rPr>
                <w:rFonts w:hint="eastAsia" w:ascii="宋体" w:hAnsi="宋体"/>
                <w:sz w:val="21"/>
                <w:szCs w:val="21"/>
                <w:lang w:val="en-US" w:eastAsia="zh-CN"/>
              </w:rPr>
              <w:t>年度保持</w:t>
            </w:r>
            <w:r>
              <w:rPr>
                <w:rFonts w:hint="eastAsia" w:ascii="宋体" w:hAnsi="宋体"/>
                <w:sz w:val="21"/>
                <w:szCs w:val="21"/>
              </w:rPr>
              <w:t>满足要求。</w:t>
            </w:r>
          </w:p>
        </w:tc>
        <w:tc>
          <w:tcPr>
            <w:tcW w:w="1585" w:type="dxa"/>
          </w:tcPr>
          <w:p>
            <w:pPr>
              <w:spacing w:line="24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rFonts w:hint="eastAsia"/>
                <w:sz w:val="21"/>
                <w:szCs w:val="21"/>
              </w:rPr>
            </w:pPr>
            <w:r>
              <w:rPr>
                <w:rFonts w:hint="eastAsia"/>
                <w:sz w:val="21"/>
                <w:szCs w:val="21"/>
              </w:rPr>
              <w:t>组织架构及职责分配</w:t>
            </w:r>
            <w:r>
              <w:rPr>
                <w:rFonts w:hint="eastAsia"/>
                <w:sz w:val="21"/>
                <w:szCs w:val="21"/>
                <w:lang w:val="en-US" w:eastAsia="zh-CN"/>
              </w:rPr>
              <w:t>保持</w:t>
            </w:r>
            <w:r>
              <w:rPr>
                <w:rFonts w:hint="eastAsia"/>
                <w:sz w:val="21"/>
                <w:szCs w:val="21"/>
              </w:rPr>
              <w:t>的适宜性</w:t>
            </w:r>
            <w:r>
              <w:rPr>
                <w:rFonts w:hint="eastAsia"/>
                <w:sz w:val="21"/>
                <w:szCs w:val="21"/>
                <w:lang w:eastAsia="zh-CN"/>
              </w:rPr>
              <w:t>；</w:t>
            </w:r>
          </w:p>
        </w:tc>
        <w:tc>
          <w:tcPr>
            <w:tcW w:w="960" w:type="dxa"/>
          </w:tcPr>
          <w:p>
            <w:pPr>
              <w:spacing w:line="240" w:lineRule="auto"/>
              <w:rPr>
                <w:rFonts w:hint="default"/>
                <w:sz w:val="21"/>
                <w:szCs w:val="21"/>
                <w:lang w:val="en-US" w:eastAsia="zh-CN"/>
              </w:rPr>
            </w:pPr>
            <w:r>
              <w:rPr>
                <w:rFonts w:hint="eastAsia"/>
                <w:sz w:val="21"/>
                <w:szCs w:val="21"/>
                <w:lang w:val="en-US" w:eastAsia="zh-CN"/>
              </w:rPr>
              <w:t>ES5.3、S5.4</w:t>
            </w:r>
          </w:p>
        </w:tc>
        <w:tc>
          <w:tcPr>
            <w:tcW w:w="10004" w:type="dxa"/>
          </w:tcPr>
          <w:p>
            <w:pPr>
              <w:pStyle w:val="15"/>
              <w:spacing w:line="240" w:lineRule="auto"/>
              <w:rPr>
                <w:rFonts w:ascii="宋体" w:hAnsi="宋体"/>
                <w:sz w:val="21"/>
                <w:szCs w:val="21"/>
              </w:rPr>
            </w:pPr>
            <w:r>
              <w:rPr>
                <w:rFonts w:hint="eastAsia" w:ascii="宋体" w:hAnsi="宋体"/>
                <w:sz w:val="21"/>
                <w:szCs w:val="21"/>
                <w:lang w:val="en-US" w:eastAsia="zh-CN"/>
              </w:rPr>
              <w:t>--</w:t>
            </w:r>
            <w:r>
              <w:rPr>
                <w:rFonts w:hint="eastAsia" w:ascii="宋体" w:hAnsi="宋体"/>
                <w:sz w:val="21"/>
                <w:szCs w:val="21"/>
              </w:rPr>
              <w:t>查“环境、职业健安全管理手册”包括组织机构、职责</w:t>
            </w:r>
            <w:r>
              <w:rPr>
                <w:rFonts w:hint="eastAsia" w:ascii="宋体" w:hAnsi="宋体"/>
                <w:sz w:val="21"/>
                <w:szCs w:val="21"/>
                <w:lang w:val="en-US" w:eastAsia="zh-CN"/>
              </w:rPr>
              <w:t>及</w:t>
            </w:r>
            <w:r>
              <w:rPr>
                <w:rFonts w:hint="eastAsia" w:ascii="宋体" w:hAnsi="宋体"/>
                <w:sz w:val="21"/>
                <w:szCs w:val="21"/>
              </w:rPr>
              <w:t>管理者代表任命书、</w:t>
            </w:r>
            <w:r>
              <w:rPr>
                <w:rFonts w:hint="eastAsia" w:ascii="Times New Roman" w:hAnsi="Times New Roman"/>
                <w:sz w:val="21"/>
                <w:szCs w:val="21"/>
              </w:rPr>
              <w:t>职业健康安全事务</w:t>
            </w:r>
            <w:r>
              <w:rPr>
                <w:rFonts w:hint="eastAsia" w:ascii="宋体" w:hAnsi="宋体"/>
                <w:sz w:val="21"/>
                <w:szCs w:val="21"/>
              </w:rPr>
              <w:t>代表任命书，并规定了其职责，管代和</w:t>
            </w:r>
            <w:r>
              <w:rPr>
                <w:rFonts w:hint="eastAsia" w:ascii="Times New Roman" w:hAnsi="Times New Roman"/>
                <w:sz w:val="21"/>
                <w:szCs w:val="21"/>
              </w:rPr>
              <w:t>职业健康安全事务代表</w:t>
            </w:r>
            <w:r>
              <w:rPr>
                <w:rFonts w:hint="eastAsia" w:ascii="宋体" w:hAnsi="宋体"/>
                <w:sz w:val="21"/>
                <w:szCs w:val="21"/>
              </w:rPr>
              <w:t>口述职责，基本正确。</w:t>
            </w:r>
          </w:p>
          <w:p>
            <w:pPr>
              <w:pStyle w:val="15"/>
              <w:spacing w:line="240" w:lineRule="auto"/>
              <w:rPr>
                <w:rFonts w:hint="eastAsia" w:ascii="宋体" w:hAnsi="宋体"/>
                <w:sz w:val="21"/>
                <w:szCs w:val="21"/>
                <w:lang w:val="en-US" w:eastAsia="zh-CN"/>
              </w:rPr>
            </w:pPr>
            <w:r>
              <w:rPr>
                <w:rFonts w:hint="eastAsia" w:ascii="宋体" w:hAnsi="宋体"/>
                <w:sz w:val="21"/>
                <w:szCs w:val="21"/>
                <w:lang w:val="en-US" w:eastAsia="zh-CN"/>
              </w:rPr>
              <w:t>--变更：提供有文件修订记录；总经理：何清鑫；日 期：2021.11.2；</w:t>
            </w:r>
          </w:p>
          <w:p>
            <w:pPr>
              <w:pStyle w:val="15"/>
              <w:spacing w:line="240" w:lineRule="auto"/>
              <w:rPr>
                <w:rFonts w:hint="eastAsia" w:ascii="宋体" w:hAnsi="宋体"/>
                <w:sz w:val="21"/>
                <w:szCs w:val="21"/>
                <w:lang w:val="en-US" w:eastAsia="zh-CN"/>
              </w:rPr>
            </w:pPr>
            <w:r>
              <w:rPr>
                <w:rFonts w:hint="eastAsia" w:ascii="宋体" w:hAnsi="宋体"/>
                <w:sz w:val="21"/>
                <w:szCs w:val="21"/>
                <w:lang w:val="en-US" w:eastAsia="zh-CN"/>
              </w:rPr>
              <w:t>更换管理者代表为：高泉凯</w:t>
            </w:r>
          </w:p>
          <w:p>
            <w:pPr>
              <w:pStyle w:val="15"/>
              <w:spacing w:line="240" w:lineRule="auto"/>
              <w:rPr>
                <w:rFonts w:hint="eastAsia" w:ascii="宋体" w:hAnsi="宋体"/>
                <w:sz w:val="21"/>
                <w:szCs w:val="21"/>
                <w:lang w:val="en-US" w:eastAsia="zh-CN"/>
              </w:rPr>
            </w:pPr>
            <w:r>
              <w:rPr>
                <w:rFonts w:hint="eastAsia" w:ascii="宋体" w:hAnsi="宋体"/>
                <w:sz w:val="21"/>
                <w:szCs w:val="21"/>
                <w:lang w:val="en-US" w:eastAsia="zh-CN"/>
              </w:rPr>
              <w:t>更换安全事务代表为：罗志豪</w:t>
            </w:r>
          </w:p>
          <w:p>
            <w:pPr>
              <w:spacing w:line="240" w:lineRule="auto"/>
            </w:pPr>
            <w:r>
              <w:rPr>
                <w:rFonts w:hint="eastAsia" w:ascii="宋体" w:hAnsi="宋体"/>
                <w:sz w:val="21"/>
                <w:szCs w:val="21"/>
              </w:rPr>
              <w:t>——</w:t>
            </w:r>
            <w:r>
              <w:rPr>
                <w:rFonts w:hint="eastAsia" w:ascii="宋体" w:hAnsi="宋体"/>
                <w:sz w:val="21"/>
                <w:szCs w:val="21"/>
                <w:lang w:val="en-US" w:eastAsia="zh-CN"/>
              </w:rPr>
              <w:t>年度保持</w:t>
            </w:r>
            <w:r>
              <w:rPr>
                <w:rFonts w:hint="eastAsia" w:ascii="宋体" w:hAnsi="宋体"/>
                <w:sz w:val="21"/>
                <w:szCs w:val="21"/>
              </w:rPr>
              <w:t>基本满足要求。</w:t>
            </w:r>
          </w:p>
        </w:tc>
        <w:tc>
          <w:tcPr>
            <w:tcW w:w="1585" w:type="dxa"/>
          </w:tcPr>
          <w:p>
            <w:pPr>
              <w:spacing w:line="24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rFonts w:hint="eastAsia"/>
                <w:sz w:val="21"/>
                <w:szCs w:val="21"/>
              </w:rPr>
            </w:pPr>
            <w:r>
              <w:rPr>
                <w:rFonts w:hint="eastAsia"/>
                <w:sz w:val="21"/>
                <w:szCs w:val="21"/>
              </w:rPr>
              <w:t>体系必要资源</w:t>
            </w:r>
            <w:r>
              <w:rPr>
                <w:rFonts w:hint="eastAsia"/>
                <w:sz w:val="21"/>
                <w:szCs w:val="21"/>
                <w:lang w:val="en-US" w:eastAsia="zh-CN"/>
              </w:rPr>
              <w:t>持续</w:t>
            </w:r>
            <w:r>
              <w:rPr>
                <w:rFonts w:hint="eastAsia"/>
                <w:sz w:val="21"/>
                <w:szCs w:val="21"/>
              </w:rPr>
              <w:t>提供的充分性</w:t>
            </w:r>
            <w:r>
              <w:rPr>
                <w:rFonts w:hint="eastAsia"/>
                <w:sz w:val="21"/>
                <w:szCs w:val="21"/>
                <w:lang w:eastAsia="zh-CN"/>
              </w:rPr>
              <w:t>；</w:t>
            </w:r>
          </w:p>
        </w:tc>
        <w:tc>
          <w:tcPr>
            <w:tcW w:w="960" w:type="dxa"/>
          </w:tcPr>
          <w:p>
            <w:pPr>
              <w:spacing w:line="240" w:lineRule="auto"/>
              <w:rPr>
                <w:rFonts w:hint="eastAsia"/>
                <w:sz w:val="21"/>
                <w:szCs w:val="21"/>
                <w:lang w:val="en-US" w:eastAsia="zh-CN"/>
              </w:rPr>
            </w:pPr>
            <w:r>
              <w:rPr>
                <w:rFonts w:hint="eastAsia"/>
                <w:sz w:val="21"/>
                <w:szCs w:val="21"/>
                <w:lang w:val="en-US" w:eastAsia="zh-CN"/>
              </w:rPr>
              <w:t>ES7.1</w:t>
            </w:r>
          </w:p>
        </w:tc>
        <w:tc>
          <w:tcPr>
            <w:tcW w:w="10004" w:type="dxa"/>
          </w:tcPr>
          <w:p>
            <w:pPr>
              <w:pStyle w:val="15"/>
              <w:spacing w:line="240" w:lineRule="auto"/>
              <w:rPr>
                <w:rFonts w:hint="eastAsia" w:ascii="宋体" w:hAnsi="宋体"/>
                <w:sz w:val="21"/>
                <w:szCs w:val="21"/>
                <w:lang w:val="en-US" w:eastAsia="zh-CN"/>
              </w:rPr>
            </w:pPr>
            <w:r>
              <w:rPr>
                <w:rFonts w:hint="eastAsia" w:ascii="宋体" w:hAnsi="宋体"/>
                <w:sz w:val="21"/>
                <w:szCs w:val="21"/>
                <w:lang w:val="en-US" w:eastAsia="zh-CN"/>
              </w:rPr>
              <w:t>--办公区域以玻璃幕墙隔断，通风采光良好，配备有电脑8台、打印复印机1台、全套办公类家具；</w:t>
            </w:r>
          </w:p>
          <w:p>
            <w:pPr>
              <w:pStyle w:val="15"/>
              <w:spacing w:line="240" w:lineRule="auto"/>
              <w:rPr>
                <w:rFonts w:hint="eastAsia" w:ascii="宋体" w:hAnsi="宋体"/>
                <w:sz w:val="21"/>
                <w:szCs w:val="21"/>
                <w:lang w:val="en-US" w:eastAsia="zh-CN"/>
              </w:rPr>
            </w:pPr>
            <w:r>
              <w:rPr>
                <w:rFonts w:hint="eastAsia" w:ascii="宋体" w:hAnsi="宋体"/>
                <w:sz w:val="21"/>
                <w:szCs w:val="21"/>
                <w:lang w:val="en-US" w:eastAsia="zh-CN"/>
              </w:rPr>
              <w:t>--环保设备包括字纸篓、分类垃圾箱；公共区域摆放绿植；</w:t>
            </w:r>
          </w:p>
          <w:p>
            <w:pPr>
              <w:pStyle w:val="15"/>
              <w:spacing w:line="240" w:lineRule="auto"/>
              <w:rPr>
                <w:rFonts w:hint="eastAsia" w:ascii="宋体" w:hAnsi="宋体"/>
                <w:sz w:val="21"/>
                <w:szCs w:val="21"/>
                <w:lang w:val="en-US" w:eastAsia="zh-CN"/>
              </w:rPr>
            </w:pPr>
            <w:r>
              <w:rPr>
                <w:rFonts w:hint="eastAsia" w:ascii="宋体" w:hAnsi="宋体"/>
                <w:sz w:val="21"/>
                <w:szCs w:val="21"/>
                <w:lang w:val="en-US" w:eastAsia="zh-CN"/>
              </w:rPr>
              <w:t>--办公室门外洗手台处配置有洗手液；进门前方及左侧配置有消防箱。</w:t>
            </w:r>
          </w:p>
          <w:p>
            <w:pPr>
              <w:pStyle w:val="15"/>
              <w:spacing w:line="240" w:lineRule="auto"/>
              <w:rPr>
                <w:rFonts w:hint="eastAsia" w:ascii="宋体" w:hAnsi="宋体"/>
                <w:sz w:val="21"/>
                <w:szCs w:val="21"/>
                <w:lang w:val="en-US" w:eastAsia="zh-CN"/>
              </w:rPr>
            </w:pPr>
            <w:r>
              <w:rPr>
                <w:rFonts w:hint="eastAsia" w:ascii="宋体" w:hAnsi="宋体"/>
                <w:sz w:val="21"/>
                <w:szCs w:val="21"/>
                <w:lang w:val="en-US" w:eastAsia="zh-CN"/>
              </w:rPr>
              <w:t>--管代表述，员工接受过环保、安全知识培训，参与过应急演练。</w:t>
            </w:r>
          </w:p>
          <w:p>
            <w:pPr>
              <w:pStyle w:val="15"/>
              <w:spacing w:line="240" w:lineRule="auto"/>
              <w:rPr>
                <w:rFonts w:hint="default" w:ascii="宋体" w:hAnsi="宋体"/>
                <w:sz w:val="21"/>
                <w:szCs w:val="21"/>
                <w:lang w:val="en-US" w:eastAsia="zh-CN"/>
              </w:rPr>
            </w:pPr>
            <w:r>
              <w:rPr>
                <w:rFonts w:hint="eastAsia" w:ascii="宋体" w:hAnsi="宋体"/>
                <w:sz w:val="21"/>
                <w:szCs w:val="21"/>
                <w:lang w:val="en-US" w:eastAsia="zh-CN"/>
              </w:rPr>
              <w:t>--综合部负责提供充足的ES资金保障。</w:t>
            </w:r>
          </w:p>
        </w:tc>
        <w:tc>
          <w:tcPr>
            <w:tcW w:w="1585" w:type="dxa"/>
          </w:tcPr>
          <w:p>
            <w:pPr>
              <w:spacing w:line="24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rFonts w:hint="eastAsia"/>
                <w:sz w:val="21"/>
                <w:szCs w:val="21"/>
              </w:rPr>
            </w:pPr>
            <w:r>
              <w:rPr>
                <w:rFonts w:hint="eastAsia"/>
                <w:sz w:val="21"/>
                <w:szCs w:val="21"/>
              </w:rPr>
              <w:t>管理评审的实施及作用</w:t>
            </w:r>
            <w:r>
              <w:rPr>
                <w:rFonts w:hint="eastAsia"/>
                <w:sz w:val="21"/>
                <w:szCs w:val="21"/>
                <w:lang w:eastAsia="zh-CN"/>
              </w:rPr>
              <w:t>；</w:t>
            </w:r>
          </w:p>
        </w:tc>
        <w:tc>
          <w:tcPr>
            <w:tcW w:w="960" w:type="dxa"/>
          </w:tcPr>
          <w:p>
            <w:pPr>
              <w:spacing w:line="240" w:lineRule="auto"/>
              <w:rPr>
                <w:rFonts w:hint="eastAsia"/>
                <w:sz w:val="21"/>
                <w:szCs w:val="21"/>
                <w:lang w:val="en-US" w:eastAsia="zh-CN"/>
              </w:rPr>
            </w:pPr>
            <w:r>
              <w:rPr>
                <w:rFonts w:hint="eastAsia"/>
                <w:sz w:val="21"/>
                <w:szCs w:val="21"/>
                <w:lang w:val="en-US" w:eastAsia="zh-CN"/>
              </w:rPr>
              <w:t>ES9.3</w:t>
            </w:r>
          </w:p>
        </w:tc>
        <w:tc>
          <w:tcPr>
            <w:tcW w:w="10004" w:type="dxa"/>
          </w:tcPr>
          <w:p>
            <w:pPr>
              <w:pStyle w:val="15"/>
              <w:spacing w:line="240" w:lineRule="auto"/>
              <w:rPr>
                <w:rFonts w:hint="eastAsia" w:ascii="宋体" w:hAnsi="宋体" w:cs="宋体"/>
                <w:sz w:val="21"/>
                <w:szCs w:val="21"/>
                <w:lang w:val="en-US" w:eastAsia="zh-CN"/>
              </w:rPr>
            </w:pPr>
            <w:r>
              <w:rPr>
                <w:rFonts w:hint="eastAsia" w:ascii="Times New Roman" w:hAnsi="Times New Roman"/>
                <w:sz w:val="21"/>
                <w:szCs w:val="21"/>
                <w:lang w:val="en-US" w:eastAsia="zh-CN"/>
              </w:rPr>
              <w:t>---制订有《</w:t>
            </w:r>
            <w:r>
              <w:rPr>
                <w:rFonts w:hint="eastAsia" w:ascii="宋体" w:hAnsi="宋体" w:cs="宋体"/>
                <w:sz w:val="21"/>
                <w:szCs w:val="21"/>
              </w:rPr>
              <w:t>管理评审控制程序</w:t>
            </w:r>
            <w:r>
              <w:rPr>
                <w:rFonts w:hint="eastAsia" w:ascii="宋体" w:hAnsi="宋体" w:cs="宋体"/>
                <w:sz w:val="21"/>
                <w:szCs w:val="21"/>
                <w:lang w:eastAsia="zh-CN"/>
              </w:rPr>
              <w:t>》，</w:t>
            </w:r>
            <w:r>
              <w:rPr>
                <w:rFonts w:hint="eastAsia" w:ascii="宋体" w:hAnsi="宋体" w:cs="宋体"/>
                <w:sz w:val="21"/>
                <w:szCs w:val="21"/>
                <w:lang w:val="en-US" w:eastAsia="zh-CN"/>
              </w:rPr>
              <w:t>对管评过程进行控制。</w:t>
            </w:r>
          </w:p>
          <w:p>
            <w:pPr>
              <w:pStyle w:val="15"/>
              <w:spacing w:line="240" w:lineRule="auto"/>
              <w:rPr>
                <w:rFonts w:hint="eastAsia" w:ascii="Times New Roman" w:hAnsi="Times New Roman"/>
                <w:sz w:val="21"/>
                <w:szCs w:val="21"/>
              </w:rPr>
            </w:pPr>
            <w:r>
              <w:rPr>
                <w:rFonts w:hint="eastAsia" w:ascii="宋体" w:hAnsi="宋体" w:cs="宋体"/>
                <w:sz w:val="21"/>
                <w:szCs w:val="21"/>
                <w:lang w:val="en-US" w:eastAsia="zh-CN"/>
              </w:rPr>
              <w:t>--实施：</w:t>
            </w:r>
            <w:r>
              <w:rPr>
                <w:rFonts w:hint="eastAsia" w:ascii="Times New Roman" w:hAnsi="Times New Roman"/>
                <w:sz w:val="21"/>
                <w:szCs w:val="21"/>
              </w:rPr>
              <w:t>公司在2</w:t>
            </w:r>
            <w:r>
              <w:rPr>
                <w:rFonts w:ascii="Times New Roman" w:hAnsi="Times New Roman"/>
                <w:sz w:val="21"/>
                <w:szCs w:val="21"/>
              </w:rPr>
              <w:t>021.</w:t>
            </w:r>
            <w:r>
              <w:rPr>
                <w:rFonts w:hint="eastAsia" w:ascii="Times New Roman" w:hAnsi="Times New Roman"/>
                <w:sz w:val="21"/>
                <w:szCs w:val="21"/>
                <w:lang w:val="en-US" w:eastAsia="zh-CN"/>
              </w:rPr>
              <w:t>12.14.</w:t>
            </w:r>
            <w:r>
              <w:rPr>
                <w:rFonts w:ascii="Times New Roman" w:hAnsi="Times New Roman"/>
                <w:sz w:val="21"/>
                <w:szCs w:val="21"/>
              </w:rPr>
              <w:t>.</w:t>
            </w:r>
            <w:r>
              <w:rPr>
                <w:rFonts w:hint="eastAsia" w:ascii="Times New Roman" w:hAnsi="Times New Roman"/>
                <w:sz w:val="21"/>
                <w:szCs w:val="21"/>
                <w:lang w:val="en-US" w:eastAsia="zh-CN"/>
              </w:rPr>
              <w:t>实施</w:t>
            </w:r>
            <w:r>
              <w:rPr>
                <w:rFonts w:hint="eastAsia" w:ascii="Times New Roman" w:hAnsi="Times New Roman"/>
                <w:sz w:val="21"/>
                <w:szCs w:val="21"/>
              </w:rPr>
              <w:t>了管理评审活动，所有职能部门参与，提供了签到表；</w:t>
            </w:r>
          </w:p>
          <w:p>
            <w:pPr>
              <w:pStyle w:val="15"/>
              <w:spacing w:line="240" w:lineRule="auto"/>
              <w:rPr>
                <w:rFonts w:ascii="Times New Roman" w:hAnsi="Times New Roman"/>
                <w:sz w:val="21"/>
                <w:szCs w:val="21"/>
              </w:rPr>
            </w:pPr>
            <w:r>
              <w:rPr>
                <w:rFonts w:hint="eastAsia" w:ascii="Times New Roman" w:hAnsi="Times New Roman"/>
                <w:sz w:val="21"/>
                <w:szCs w:val="21"/>
                <w:lang w:val="en-US" w:eastAsia="zh-CN"/>
              </w:rPr>
              <w:t>---</w:t>
            </w:r>
            <w:r>
              <w:rPr>
                <w:rFonts w:hint="eastAsia" w:ascii="Times New Roman" w:hAnsi="Times New Roman"/>
                <w:sz w:val="21"/>
                <w:szCs w:val="21"/>
              </w:rPr>
              <w:t>主要的输入：</w:t>
            </w:r>
          </w:p>
          <w:p>
            <w:pPr>
              <w:pStyle w:val="15"/>
              <w:spacing w:line="240" w:lineRule="auto"/>
              <w:rPr>
                <w:rFonts w:hint="eastAsia" w:ascii="Times New Roman" w:hAnsi="Times New Roman"/>
                <w:sz w:val="21"/>
                <w:szCs w:val="21"/>
              </w:rPr>
            </w:pPr>
            <w:r>
              <w:rPr>
                <w:rFonts w:hint="eastAsia" w:ascii="Times New Roman" w:hAnsi="Times New Roman"/>
                <w:sz w:val="21"/>
                <w:szCs w:val="21"/>
              </w:rPr>
              <w:t>与管理体系相关的内外部因素的变化</w:t>
            </w:r>
          </w:p>
          <w:p>
            <w:pPr>
              <w:pStyle w:val="15"/>
              <w:spacing w:line="240" w:lineRule="auto"/>
              <w:rPr>
                <w:rFonts w:hint="eastAsia" w:ascii="Times New Roman" w:hAnsi="Times New Roman"/>
                <w:sz w:val="21"/>
                <w:szCs w:val="21"/>
              </w:rPr>
            </w:pPr>
            <w:r>
              <w:rPr>
                <w:rFonts w:hint="eastAsia" w:ascii="Times New Roman" w:hAnsi="Times New Roman"/>
                <w:sz w:val="21"/>
                <w:szCs w:val="21"/>
              </w:rPr>
              <w:t>与有关体系绩效和有效性的信息，包括下列趋势性的信息：</w:t>
            </w:r>
          </w:p>
          <w:p>
            <w:pPr>
              <w:pStyle w:val="15"/>
              <w:spacing w:line="240" w:lineRule="auto"/>
              <w:rPr>
                <w:rFonts w:hint="eastAsia" w:ascii="Times New Roman" w:hAnsi="Times New Roman"/>
                <w:sz w:val="21"/>
                <w:szCs w:val="21"/>
              </w:rPr>
            </w:pPr>
            <w:r>
              <w:rPr>
                <w:rFonts w:hint="eastAsia" w:ascii="Times New Roman" w:hAnsi="Times New Roman"/>
                <w:sz w:val="21"/>
                <w:szCs w:val="21"/>
              </w:rPr>
              <w:t>顾客满意度和相关方的反馈</w:t>
            </w:r>
          </w:p>
          <w:p>
            <w:pPr>
              <w:pStyle w:val="15"/>
              <w:spacing w:line="240" w:lineRule="auto"/>
              <w:rPr>
                <w:rFonts w:hint="eastAsia" w:ascii="Times New Roman" w:hAnsi="Times New Roman"/>
                <w:sz w:val="21"/>
                <w:szCs w:val="21"/>
              </w:rPr>
            </w:pPr>
            <w:r>
              <w:rPr>
                <w:rFonts w:hint="eastAsia" w:ascii="Times New Roman" w:hAnsi="Times New Roman"/>
                <w:sz w:val="21"/>
                <w:szCs w:val="21"/>
              </w:rPr>
              <w:t>目标的实现程度</w:t>
            </w:r>
          </w:p>
          <w:p>
            <w:pPr>
              <w:pStyle w:val="15"/>
              <w:spacing w:line="240" w:lineRule="auto"/>
              <w:rPr>
                <w:rFonts w:hint="eastAsia" w:ascii="Times New Roman" w:hAnsi="Times New Roman"/>
                <w:sz w:val="21"/>
                <w:szCs w:val="21"/>
              </w:rPr>
            </w:pPr>
            <w:r>
              <w:rPr>
                <w:rFonts w:hint="eastAsia" w:ascii="Times New Roman" w:hAnsi="Times New Roman"/>
                <w:sz w:val="21"/>
                <w:szCs w:val="21"/>
              </w:rPr>
              <w:t>过程绩效以及产品和服务的符合性</w:t>
            </w:r>
          </w:p>
          <w:p>
            <w:pPr>
              <w:pStyle w:val="15"/>
              <w:spacing w:line="240" w:lineRule="auto"/>
              <w:rPr>
                <w:rFonts w:hint="eastAsia" w:ascii="Times New Roman" w:hAnsi="Times New Roman"/>
                <w:sz w:val="21"/>
                <w:szCs w:val="21"/>
              </w:rPr>
            </w:pPr>
            <w:r>
              <w:rPr>
                <w:rFonts w:hint="eastAsia" w:ascii="Times New Roman" w:hAnsi="Times New Roman"/>
                <w:sz w:val="21"/>
                <w:szCs w:val="21"/>
              </w:rPr>
              <w:t>不合格以及纠正措施</w:t>
            </w:r>
          </w:p>
          <w:p>
            <w:pPr>
              <w:pStyle w:val="15"/>
              <w:spacing w:line="240" w:lineRule="auto"/>
              <w:rPr>
                <w:rFonts w:hint="eastAsia" w:ascii="Times New Roman" w:hAnsi="Times New Roman"/>
                <w:sz w:val="21"/>
                <w:szCs w:val="21"/>
              </w:rPr>
            </w:pPr>
            <w:r>
              <w:rPr>
                <w:rFonts w:hint="eastAsia" w:ascii="Times New Roman" w:hAnsi="Times New Roman"/>
                <w:sz w:val="21"/>
                <w:szCs w:val="21"/>
              </w:rPr>
              <w:t>监视和监测的结果</w:t>
            </w:r>
          </w:p>
          <w:p>
            <w:pPr>
              <w:pStyle w:val="15"/>
              <w:spacing w:line="240" w:lineRule="auto"/>
              <w:rPr>
                <w:rFonts w:hint="eastAsia" w:ascii="Times New Roman" w:hAnsi="Times New Roman"/>
                <w:sz w:val="21"/>
                <w:szCs w:val="21"/>
              </w:rPr>
            </w:pPr>
            <w:r>
              <w:rPr>
                <w:rFonts w:hint="eastAsia" w:ascii="Times New Roman" w:hAnsi="Times New Roman"/>
                <w:sz w:val="21"/>
                <w:szCs w:val="21"/>
              </w:rPr>
              <w:t>审核结果</w:t>
            </w:r>
          </w:p>
          <w:p>
            <w:pPr>
              <w:pStyle w:val="15"/>
              <w:spacing w:line="240" w:lineRule="auto"/>
              <w:rPr>
                <w:rFonts w:hint="eastAsia" w:ascii="Times New Roman" w:hAnsi="Times New Roman"/>
                <w:sz w:val="21"/>
                <w:szCs w:val="21"/>
              </w:rPr>
            </w:pPr>
            <w:r>
              <w:rPr>
                <w:rFonts w:hint="eastAsia" w:ascii="Times New Roman" w:hAnsi="Times New Roman"/>
                <w:sz w:val="21"/>
                <w:szCs w:val="21"/>
              </w:rPr>
              <w:t>外部供方的绩效</w:t>
            </w:r>
          </w:p>
          <w:p>
            <w:pPr>
              <w:pStyle w:val="15"/>
              <w:spacing w:line="240" w:lineRule="auto"/>
              <w:rPr>
                <w:rFonts w:hint="eastAsia" w:ascii="Times New Roman" w:hAnsi="Times New Roman"/>
                <w:sz w:val="21"/>
                <w:szCs w:val="21"/>
              </w:rPr>
            </w:pPr>
            <w:r>
              <w:rPr>
                <w:rFonts w:hint="eastAsia" w:ascii="Times New Roman" w:hAnsi="Times New Roman"/>
                <w:sz w:val="21"/>
                <w:szCs w:val="21"/>
              </w:rPr>
              <w:t>资源的充分性</w:t>
            </w:r>
          </w:p>
          <w:p>
            <w:pPr>
              <w:pStyle w:val="15"/>
              <w:spacing w:line="240" w:lineRule="auto"/>
              <w:rPr>
                <w:rFonts w:hint="eastAsia" w:ascii="Times New Roman" w:hAnsi="Times New Roman"/>
                <w:sz w:val="21"/>
                <w:szCs w:val="21"/>
              </w:rPr>
            </w:pPr>
            <w:r>
              <w:rPr>
                <w:rFonts w:hint="eastAsia" w:ascii="Times New Roman" w:hAnsi="Times New Roman"/>
                <w:sz w:val="21"/>
                <w:szCs w:val="21"/>
              </w:rPr>
              <w:t>应对风险和机遇所采取措施的有效性</w:t>
            </w:r>
          </w:p>
          <w:p>
            <w:pPr>
              <w:pStyle w:val="15"/>
              <w:spacing w:line="240" w:lineRule="auto"/>
              <w:rPr>
                <w:rFonts w:hint="eastAsia" w:ascii="Times New Roman" w:hAnsi="Times New Roman"/>
                <w:sz w:val="21"/>
                <w:szCs w:val="21"/>
              </w:rPr>
            </w:pPr>
            <w:r>
              <w:rPr>
                <w:rFonts w:hint="eastAsia" w:ascii="Times New Roman" w:hAnsi="Times New Roman"/>
                <w:sz w:val="21"/>
                <w:szCs w:val="21"/>
              </w:rPr>
              <w:t>改进的机会</w:t>
            </w:r>
          </w:p>
          <w:p>
            <w:pPr>
              <w:pStyle w:val="15"/>
              <w:spacing w:line="240" w:lineRule="auto"/>
              <w:rPr>
                <w:rFonts w:hint="eastAsia" w:ascii="Times New Roman" w:hAnsi="Times New Roman"/>
                <w:sz w:val="21"/>
                <w:szCs w:val="21"/>
              </w:rPr>
            </w:pPr>
            <w:r>
              <w:rPr>
                <w:rFonts w:hint="eastAsia" w:ascii="Times New Roman" w:hAnsi="Times New Roman"/>
                <w:sz w:val="21"/>
                <w:szCs w:val="21"/>
              </w:rPr>
              <w:t>组织知识是否可以满足经营需要</w:t>
            </w:r>
          </w:p>
          <w:p>
            <w:pPr>
              <w:pStyle w:val="15"/>
              <w:spacing w:line="240" w:lineRule="auto"/>
              <w:rPr>
                <w:rFonts w:hint="eastAsia" w:ascii="Times New Roman" w:hAnsi="Times New Roman"/>
                <w:sz w:val="21"/>
                <w:szCs w:val="21"/>
              </w:rPr>
            </w:pPr>
            <w:r>
              <w:rPr>
                <w:rFonts w:hint="eastAsia" w:ascii="Times New Roman" w:hAnsi="Times New Roman"/>
                <w:sz w:val="21"/>
                <w:szCs w:val="21"/>
              </w:rPr>
              <w:t>相关方及相关方的要求识别和评价情况</w:t>
            </w:r>
          </w:p>
          <w:p>
            <w:pPr>
              <w:pStyle w:val="15"/>
              <w:spacing w:line="240" w:lineRule="auto"/>
              <w:rPr>
                <w:rFonts w:hint="eastAsia" w:ascii="Times New Roman" w:hAnsi="Times New Roman"/>
                <w:sz w:val="21"/>
                <w:szCs w:val="21"/>
              </w:rPr>
            </w:pPr>
            <w:r>
              <w:rPr>
                <w:rFonts w:hint="eastAsia" w:ascii="Times New Roman" w:hAnsi="Times New Roman"/>
                <w:sz w:val="21"/>
                <w:szCs w:val="21"/>
                <w:lang w:eastAsia="zh-CN"/>
              </w:rPr>
              <w:t>上次外部审核结论及不符合改进情况</w:t>
            </w:r>
          </w:p>
          <w:p>
            <w:pPr>
              <w:pStyle w:val="15"/>
              <w:spacing w:line="240" w:lineRule="auto"/>
              <w:rPr>
                <w:rFonts w:hint="eastAsia" w:ascii="Times New Roman" w:hAnsi="Times New Roman"/>
                <w:sz w:val="21"/>
                <w:szCs w:val="21"/>
                <w:lang w:eastAsia="zh-CN"/>
              </w:rPr>
            </w:pPr>
            <w:r>
              <w:rPr>
                <w:rFonts w:hint="eastAsia" w:ascii="Times New Roman" w:hAnsi="Times New Roman"/>
                <w:sz w:val="21"/>
                <w:szCs w:val="21"/>
                <w:lang w:eastAsia="zh-CN"/>
              </w:rPr>
              <w:t>前次管理评审、内部审核情况及改进情况追踪</w:t>
            </w:r>
          </w:p>
          <w:p>
            <w:pPr>
              <w:pStyle w:val="15"/>
              <w:spacing w:line="240" w:lineRule="auto"/>
              <w:rPr>
                <w:rFonts w:hint="eastAsia" w:ascii="Times New Roman" w:hAnsi="Times New Roman"/>
                <w:sz w:val="21"/>
                <w:szCs w:val="21"/>
                <w:lang w:eastAsia="zh-CN"/>
              </w:rPr>
            </w:pPr>
            <w:r>
              <w:rPr>
                <w:rFonts w:hint="eastAsia" w:ascii="Times New Roman" w:hAnsi="Times New Roman"/>
                <w:sz w:val="21"/>
                <w:szCs w:val="21"/>
                <w:lang w:eastAsia="zh-CN"/>
              </w:rPr>
              <w:t>合规性评价情况。</w:t>
            </w:r>
          </w:p>
          <w:p>
            <w:pPr>
              <w:pStyle w:val="15"/>
              <w:spacing w:line="240" w:lineRule="auto"/>
              <w:rPr>
                <w:rFonts w:ascii="Times New Roman" w:hAnsi="Times New Roman"/>
                <w:sz w:val="21"/>
                <w:szCs w:val="21"/>
              </w:rPr>
            </w:pPr>
            <w:r>
              <w:rPr>
                <w:rFonts w:hint="eastAsia" w:ascii="Times New Roman" w:hAnsi="Times New Roman"/>
                <w:sz w:val="21"/>
                <w:szCs w:val="21"/>
                <w:lang w:eastAsia="zh-CN"/>
              </w:rPr>
              <w:t>——</w:t>
            </w:r>
            <w:r>
              <w:rPr>
                <w:rFonts w:hint="eastAsia" w:ascii="Times New Roman" w:hAnsi="Times New Roman"/>
                <w:sz w:val="21"/>
                <w:szCs w:val="21"/>
              </w:rPr>
              <w:t>管理评审策划和实施的时间、覆盖的范围、输入、输出均符合规定要求；</w:t>
            </w:r>
          </w:p>
          <w:p>
            <w:pPr>
              <w:pStyle w:val="15"/>
              <w:spacing w:line="240" w:lineRule="auto"/>
              <w:rPr>
                <w:rFonts w:hint="eastAsia" w:ascii="Times New Roman" w:hAnsi="Times New Roman"/>
                <w:sz w:val="21"/>
                <w:szCs w:val="21"/>
              </w:rPr>
            </w:pPr>
            <w:r>
              <w:rPr>
                <w:rFonts w:hint="eastAsia" w:ascii="Times New Roman" w:hAnsi="Times New Roman"/>
                <w:sz w:val="21"/>
                <w:szCs w:val="21"/>
                <w:lang w:val="en-US" w:eastAsia="zh-CN"/>
              </w:rPr>
              <w:t>---</w:t>
            </w:r>
            <w:r>
              <w:rPr>
                <w:rFonts w:hint="eastAsia" w:ascii="Times New Roman" w:hAnsi="Times New Roman"/>
                <w:sz w:val="21"/>
                <w:szCs w:val="21"/>
              </w:rPr>
              <w:t>管理评审报告的结论为：</w:t>
            </w:r>
          </w:p>
          <w:p>
            <w:pPr>
              <w:pStyle w:val="15"/>
              <w:spacing w:line="240" w:lineRule="auto"/>
              <w:ind w:firstLine="420" w:firstLineChars="200"/>
              <w:rPr>
                <w:rFonts w:hint="eastAsia" w:ascii="Times New Roman" w:hAnsi="Times New Roman"/>
                <w:sz w:val="21"/>
                <w:szCs w:val="21"/>
              </w:rPr>
            </w:pPr>
            <w:r>
              <w:rPr>
                <w:rFonts w:hint="eastAsia" w:ascii="Times New Roman" w:hAnsi="Times New Roman"/>
                <w:sz w:val="21"/>
                <w:szCs w:val="21"/>
              </w:rPr>
              <w:t>公司的</w:t>
            </w:r>
            <w:r>
              <w:rPr>
                <w:rFonts w:hint="eastAsia" w:ascii="Times New Roman" w:hAnsi="Times New Roman"/>
                <w:sz w:val="21"/>
                <w:szCs w:val="21"/>
                <w:lang w:eastAsia="zh-CN"/>
              </w:rPr>
              <w:t>环境、职业健康安全</w:t>
            </w:r>
            <w:r>
              <w:rPr>
                <w:rFonts w:hint="eastAsia" w:ascii="Times New Roman" w:hAnsi="Times New Roman"/>
                <w:sz w:val="21"/>
                <w:szCs w:val="21"/>
              </w:rPr>
              <w:t>管理体系</w:t>
            </w:r>
            <w:r>
              <w:rPr>
                <w:rFonts w:hint="eastAsia" w:ascii="Times New Roman" w:hAnsi="Times New Roman"/>
                <w:sz w:val="21"/>
                <w:szCs w:val="21"/>
                <w:lang w:eastAsia="zh-CN"/>
              </w:rPr>
              <w:t>得以有效运行</w:t>
            </w:r>
            <w:r>
              <w:rPr>
                <w:rFonts w:hint="eastAsia" w:ascii="Times New Roman" w:hAnsi="Times New Roman"/>
                <w:sz w:val="21"/>
                <w:szCs w:val="21"/>
              </w:rPr>
              <w:t>。公司</w:t>
            </w:r>
            <w:r>
              <w:rPr>
                <w:rFonts w:hint="eastAsia" w:ascii="Times New Roman" w:hAnsi="Times New Roman"/>
                <w:sz w:val="21"/>
                <w:szCs w:val="21"/>
                <w:lang w:eastAsia="zh-CN"/>
              </w:rPr>
              <w:t>制定的管理方针得到有效沟通及全员认同，公司各目标均达成</w:t>
            </w:r>
            <w:r>
              <w:rPr>
                <w:rFonts w:hint="eastAsia" w:ascii="Times New Roman" w:hAnsi="Times New Roman"/>
                <w:sz w:val="21"/>
                <w:szCs w:val="21"/>
              </w:rPr>
              <w:t>。</w:t>
            </w:r>
            <w:r>
              <w:rPr>
                <w:rFonts w:hint="eastAsia" w:ascii="Times New Roman" w:hAnsi="Times New Roman"/>
                <w:sz w:val="21"/>
                <w:szCs w:val="21"/>
                <w:lang w:eastAsia="zh-CN"/>
              </w:rPr>
              <w:t>因此，</w:t>
            </w:r>
            <w:r>
              <w:rPr>
                <w:rFonts w:hint="eastAsia" w:ascii="Times New Roman" w:hAnsi="Times New Roman"/>
                <w:sz w:val="21"/>
                <w:szCs w:val="21"/>
              </w:rPr>
              <w:t>公司的</w:t>
            </w:r>
            <w:r>
              <w:rPr>
                <w:rFonts w:hint="eastAsia" w:ascii="Times New Roman" w:hAnsi="Times New Roman"/>
                <w:sz w:val="21"/>
                <w:szCs w:val="21"/>
                <w:lang w:eastAsia="zh-CN"/>
              </w:rPr>
              <w:t>环境、职业健康安全</w:t>
            </w:r>
            <w:r>
              <w:rPr>
                <w:rFonts w:hint="eastAsia" w:ascii="Times New Roman" w:hAnsi="Times New Roman"/>
                <w:sz w:val="21"/>
                <w:szCs w:val="21"/>
              </w:rPr>
              <w:t>方针、目标和管理体系是充分的、适宜的和有效的。</w:t>
            </w:r>
          </w:p>
          <w:p>
            <w:pPr>
              <w:pStyle w:val="15"/>
              <w:spacing w:line="240" w:lineRule="auto"/>
              <w:rPr>
                <w:rFonts w:ascii="Times New Roman" w:hAnsi="Times New Roman"/>
                <w:sz w:val="21"/>
                <w:szCs w:val="21"/>
              </w:rPr>
            </w:pPr>
            <w:r>
              <w:rPr>
                <w:rFonts w:hint="eastAsia" w:ascii="Times New Roman" w:hAnsi="Times New Roman"/>
                <w:sz w:val="21"/>
                <w:szCs w:val="21"/>
                <w:lang w:val="en-US" w:eastAsia="zh-CN"/>
              </w:rPr>
              <w:t>---</w:t>
            </w:r>
            <w:r>
              <w:rPr>
                <w:rFonts w:hint="eastAsia" w:ascii="Times New Roman" w:hAnsi="Times New Roman"/>
                <w:sz w:val="21"/>
                <w:szCs w:val="21"/>
              </w:rPr>
              <w:t>管理评审的改进要求正在实施中。</w:t>
            </w:r>
          </w:p>
          <w:p>
            <w:pPr>
              <w:pStyle w:val="15"/>
              <w:spacing w:line="240" w:lineRule="auto"/>
              <w:ind w:firstLine="420" w:firstLineChars="200"/>
              <w:rPr>
                <w:rFonts w:ascii="Times New Roman" w:hAnsi="Times New Roman"/>
                <w:sz w:val="21"/>
                <w:szCs w:val="21"/>
              </w:rPr>
            </w:pPr>
          </w:p>
          <w:p>
            <w:pPr>
              <w:spacing w:line="240" w:lineRule="auto"/>
            </w:pPr>
            <w:r>
              <w:rPr>
                <w:rFonts w:hint="eastAsia"/>
                <w:sz w:val="21"/>
                <w:szCs w:val="21"/>
              </w:rPr>
              <w:t>——年度保持符合标准要求。</w:t>
            </w:r>
          </w:p>
        </w:tc>
        <w:tc>
          <w:tcPr>
            <w:tcW w:w="1585" w:type="dxa"/>
          </w:tcPr>
          <w:p>
            <w:pPr>
              <w:spacing w:line="24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rFonts w:hint="eastAsia"/>
                <w:sz w:val="21"/>
                <w:szCs w:val="21"/>
              </w:rPr>
            </w:pPr>
            <w:r>
              <w:rPr>
                <w:rFonts w:hint="eastAsia"/>
                <w:sz w:val="21"/>
                <w:szCs w:val="21"/>
                <w:lang w:val="en-US" w:eastAsia="zh-CN"/>
              </w:rPr>
              <w:t>体系持续运行</w:t>
            </w:r>
            <w:r>
              <w:rPr>
                <w:rFonts w:hint="eastAsia"/>
                <w:sz w:val="21"/>
                <w:szCs w:val="21"/>
              </w:rPr>
              <w:t>状况(包括</w:t>
            </w:r>
            <w:r>
              <w:rPr>
                <w:rFonts w:hint="eastAsia"/>
                <w:sz w:val="21"/>
                <w:szCs w:val="21"/>
                <w:lang w:val="en-US" w:eastAsia="zh-CN"/>
              </w:rPr>
              <w:t>资质再确认、上次审核不符合验证、</w:t>
            </w:r>
            <w:r>
              <w:rPr>
                <w:rFonts w:hint="eastAsia"/>
                <w:sz w:val="21"/>
                <w:szCs w:val="21"/>
              </w:rPr>
              <w:t>环境/安全事故、顾客投诉、监督部门抽查/监测等)</w:t>
            </w:r>
            <w:r>
              <w:rPr>
                <w:rFonts w:hint="eastAsia"/>
                <w:sz w:val="21"/>
                <w:szCs w:val="21"/>
                <w:lang w:eastAsia="zh-CN"/>
              </w:rPr>
              <w:t>；</w:t>
            </w:r>
          </w:p>
        </w:tc>
        <w:tc>
          <w:tcPr>
            <w:tcW w:w="960" w:type="dxa"/>
          </w:tcPr>
          <w:p>
            <w:pPr>
              <w:spacing w:line="240" w:lineRule="auto"/>
              <w:rPr>
                <w:rFonts w:hint="eastAsia"/>
                <w:sz w:val="21"/>
                <w:szCs w:val="21"/>
                <w:lang w:val="en-US" w:eastAsia="zh-CN"/>
              </w:rPr>
            </w:pPr>
          </w:p>
        </w:tc>
        <w:tc>
          <w:tcPr>
            <w:tcW w:w="10004" w:type="dxa"/>
          </w:tcPr>
          <w:p>
            <w:pPr>
              <w:pStyle w:val="14"/>
              <w:spacing w:line="240" w:lineRule="auto"/>
              <w:rPr>
                <w:rFonts w:hint="eastAsia"/>
                <w:lang w:val="en-US" w:eastAsia="zh-CN"/>
              </w:rPr>
            </w:pPr>
            <w:r>
              <w:rPr>
                <w:rFonts w:hint="eastAsia"/>
                <w:lang w:val="en-US" w:eastAsia="zh-CN"/>
              </w:rPr>
              <w:t>1、负责人介绍，本年度顾客满意度目标达成；无批量退货及相关方投诉事件；无媒体曝光、环境、安全事件发生；</w:t>
            </w:r>
          </w:p>
          <w:p>
            <w:pPr>
              <w:pStyle w:val="14"/>
              <w:spacing w:line="240" w:lineRule="auto"/>
              <w:rPr>
                <w:rFonts w:hint="eastAsia"/>
                <w:lang w:val="en-US" w:eastAsia="zh-CN"/>
              </w:rPr>
            </w:pPr>
            <w:r>
              <w:rPr>
                <w:rFonts w:hint="eastAsia"/>
                <w:lang w:val="en-US" w:eastAsia="zh-CN"/>
              </w:rPr>
              <w:t>2、年度内体系未发生变更；</w:t>
            </w:r>
          </w:p>
          <w:p>
            <w:pPr>
              <w:pStyle w:val="14"/>
              <w:spacing w:line="240" w:lineRule="auto"/>
              <w:rPr>
                <w:rFonts w:hint="default"/>
                <w:lang w:val="en-US" w:eastAsia="zh-CN"/>
              </w:rPr>
            </w:pPr>
            <w:r>
              <w:rPr>
                <w:rFonts w:hint="eastAsia"/>
                <w:lang w:val="en-US" w:eastAsia="zh-CN"/>
              </w:rPr>
              <w:t>3、资质再确认：</w:t>
            </w:r>
          </w:p>
          <w:p>
            <w:pPr>
              <w:pStyle w:val="14"/>
              <w:spacing w:line="240" w:lineRule="auto"/>
              <w:rPr>
                <w:rFonts w:hint="eastAsia"/>
                <w:lang w:val="en-US" w:eastAsia="zh-CN"/>
              </w:rPr>
            </w:pPr>
            <w:r>
              <w:rPr>
                <w:rFonts w:hint="eastAsia"/>
                <w:lang w:val="en-US" w:eastAsia="zh-CN"/>
              </w:rPr>
              <w:t>*核查其营业执照产品覆盖范围及经营时间均为有效；</w:t>
            </w:r>
          </w:p>
          <w:p>
            <w:pPr>
              <w:spacing w:line="240" w:lineRule="auto"/>
              <w:rPr>
                <w:rFonts w:hint="default"/>
                <w:lang w:val="en-US" w:eastAsia="zh-CN"/>
              </w:rPr>
            </w:pPr>
            <w:r>
              <w:rPr>
                <w:rFonts w:hint="eastAsia"/>
                <w:lang w:val="en-US" w:eastAsia="zh-CN"/>
              </w:rPr>
              <w:t>4、.通过公开渠道查询，未见行政处罚及异常经营信息。如下：</w:t>
            </w:r>
          </w:p>
          <w:p>
            <w:pPr>
              <w:spacing w:line="240" w:lineRule="auto"/>
            </w:pPr>
            <w:r>
              <w:drawing>
                <wp:inline distT="0" distB="0" distL="114300" distR="114300">
                  <wp:extent cx="5640070" cy="4339590"/>
                  <wp:effectExtent l="0" t="0" r="1397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640070" cy="4339590"/>
                          </a:xfrm>
                          <a:prstGeom prst="rect">
                            <a:avLst/>
                          </a:prstGeom>
                          <a:noFill/>
                          <a:ln>
                            <a:noFill/>
                          </a:ln>
                        </pic:spPr>
                      </pic:pic>
                    </a:graphicData>
                  </a:graphic>
                </wp:inline>
              </w:drawing>
            </w:r>
          </w:p>
          <w:p>
            <w:pPr>
              <w:spacing w:line="240" w:lineRule="auto"/>
            </w:pPr>
          </w:p>
          <w:p>
            <w:pPr>
              <w:numPr>
                <w:ilvl w:val="0"/>
                <w:numId w:val="0"/>
              </w:numPr>
              <w:spacing w:line="240" w:lineRule="auto"/>
              <w:rPr>
                <w:rFonts w:hint="eastAsia"/>
                <w:lang w:val="en-US" w:eastAsia="zh-CN"/>
              </w:rPr>
            </w:pPr>
            <w:r>
              <w:rPr>
                <w:rFonts w:hint="eastAsia"/>
                <w:lang w:val="en-US" w:eastAsia="zh-CN"/>
              </w:rPr>
              <w:t>5、本次审核由于受审核方总经理出差，管理层条款由管代负责，提供有总经理授权书；</w:t>
            </w:r>
          </w:p>
          <w:p>
            <w:pPr>
              <w:spacing w:line="240" w:lineRule="auto"/>
              <w:rPr>
                <w:rFonts w:hint="default"/>
                <w:lang w:val="en-US" w:eastAsia="zh-CN"/>
              </w:rPr>
            </w:pPr>
            <w:r>
              <w:drawing>
                <wp:inline distT="0" distB="0" distL="114300" distR="114300">
                  <wp:extent cx="3886200" cy="351282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886200" cy="3512820"/>
                          </a:xfrm>
                          <a:prstGeom prst="rect">
                            <a:avLst/>
                          </a:prstGeom>
                          <a:noFill/>
                          <a:ln>
                            <a:noFill/>
                          </a:ln>
                        </pic:spPr>
                      </pic:pic>
                    </a:graphicData>
                  </a:graphic>
                </wp:inline>
              </w:drawing>
            </w:r>
          </w:p>
        </w:tc>
        <w:tc>
          <w:tcPr>
            <w:tcW w:w="1585" w:type="dxa"/>
          </w:tcPr>
          <w:p>
            <w:pPr>
              <w:spacing w:line="240" w:lineRule="auto"/>
            </w:p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Dutch801 Rm BT">
    <w:altName w:val="Times New Roman"/>
    <w:panose1 w:val="02020603060505020304"/>
    <w:charset w:val="00"/>
    <w:family w:val="roman"/>
    <w:pitch w:val="default"/>
    <w:sig w:usb0="00000000"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FFEF7"/>
    <w:multiLevelType w:val="singleLevel"/>
    <w:tmpl w:val="A73FFEF7"/>
    <w:lvl w:ilvl="0" w:tentative="0">
      <w:start w:val="1"/>
      <w:numFmt w:val="decimal"/>
      <w:suff w:val="nothing"/>
      <w:lvlText w:val="%1、"/>
      <w:lvlJc w:val="left"/>
    </w:lvl>
  </w:abstractNum>
  <w:abstractNum w:abstractNumId="1">
    <w:nsid w:val="B5889926"/>
    <w:multiLevelType w:val="singleLevel"/>
    <w:tmpl w:val="B5889926"/>
    <w:lvl w:ilvl="0" w:tentative="0">
      <w:start w:val="1"/>
      <w:numFmt w:val="decimal"/>
      <w:suff w:val="nothing"/>
      <w:lvlText w:val="%1、"/>
      <w:lvlJc w:val="left"/>
    </w:lvl>
  </w:abstractNum>
  <w:abstractNum w:abstractNumId="2">
    <w:nsid w:val="4775B12D"/>
    <w:multiLevelType w:val="singleLevel"/>
    <w:tmpl w:val="4775B12D"/>
    <w:lvl w:ilvl="0" w:tentative="0">
      <w:start w:val="3"/>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02228D9"/>
    <w:rsid w:val="00F46699"/>
    <w:rsid w:val="015679D0"/>
    <w:rsid w:val="0161299F"/>
    <w:rsid w:val="01F1197A"/>
    <w:rsid w:val="02877C19"/>
    <w:rsid w:val="03CC709C"/>
    <w:rsid w:val="04770389"/>
    <w:rsid w:val="04E05510"/>
    <w:rsid w:val="054808BD"/>
    <w:rsid w:val="06086B80"/>
    <w:rsid w:val="065A201C"/>
    <w:rsid w:val="068621B7"/>
    <w:rsid w:val="06D92C44"/>
    <w:rsid w:val="07065763"/>
    <w:rsid w:val="07E775D3"/>
    <w:rsid w:val="084C6EF9"/>
    <w:rsid w:val="085525B3"/>
    <w:rsid w:val="08F37BFC"/>
    <w:rsid w:val="093F0D49"/>
    <w:rsid w:val="09C85D2C"/>
    <w:rsid w:val="0A906F8F"/>
    <w:rsid w:val="0AE222D4"/>
    <w:rsid w:val="0AEE2A27"/>
    <w:rsid w:val="0BE5207C"/>
    <w:rsid w:val="0C1B5A9E"/>
    <w:rsid w:val="0C2A7A8F"/>
    <w:rsid w:val="0C5645D1"/>
    <w:rsid w:val="0DA52143"/>
    <w:rsid w:val="0EDC703A"/>
    <w:rsid w:val="0F013151"/>
    <w:rsid w:val="10806817"/>
    <w:rsid w:val="116765BD"/>
    <w:rsid w:val="125D539E"/>
    <w:rsid w:val="12D93FBD"/>
    <w:rsid w:val="12F7727B"/>
    <w:rsid w:val="13196AAF"/>
    <w:rsid w:val="136376CF"/>
    <w:rsid w:val="146D580A"/>
    <w:rsid w:val="151C19D4"/>
    <w:rsid w:val="15FF2CD5"/>
    <w:rsid w:val="169F1079"/>
    <w:rsid w:val="16B87810"/>
    <w:rsid w:val="16D169C2"/>
    <w:rsid w:val="176D7FC2"/>
    <w:rsid w:val="17CF5778"/>
    <w:rsid w:val="17F81286"/>
    <w:rsid w:val="180D7837"/>
    <w:rsid w:val="18803DEB"/>
    <w:rsid w:val="19C84E14"/>
    <w:rsid w:val="19EA2F53"/>
    <w:rsid w:val="1A735800"/>
    <w:rsid w:val="1AE25EE1"/>
    <w:rsid w:val="1B463CB8"/>
    <w:rsid w:val="1BB427A7"/>
    <w:rsid w:val="1C567E05"/>
    <w:rsid w:val="1C6E5776"/>
    <w:rsid w:val="1CA03D4F"/>
    <w:rsid w:val="1CD10726"/>
    <w:rsid w:val="1CEE2D5A"/>
    <w:rsid w:val="1D1207F7"/>
    <w:rsid w:val="1D316AD3"/>
    <w:rsid w:val="1D65301C"/>
    <w:rsid w:val="1DDC1198"/>
    <w:rsid w:val="1E74103D"/>
    <w:rsid w:val="1F817EB6"/>
    <w:rsid w:val="1F882FF2"/>
    <w:rsid w:val="20BF4E20"/>
    <w:rsid w:val="20D47A62"/>
    <w:rsid w:val="21B87493"/>
    <w:rsid w:val="21D64328"/>
    <w:rsid w:val="22001566"/>
    <w:rsid w:val="22676B9F"/>
    <w:rsid w:val="22BB723B"/>
    <w:rsid w:val="23481E03"/>
    <w:rsid w:val="24DE1906"/>
    <w:rsid w:val="25E7048C"/>
    <w:rsid w:val="261F21D6"/>
    <w:rsid w:val="26746889"/>
    <w:rsid w:val="26DA1722"/>
    <w:rsid w:val="27607AB6"/>
    <w:rsid w:val="28C231BE"/>
    <w:rsid w:val="2A693A20"/>
    <w:rsid w:val="2B163354"/>
    <w:rsid w:val="2B1C5659"/>
    <w:rsid w:val="2BBA09D7"/>
    <w:rsid w:val="2C5418E8"/>
    <w:rsid w:val="2D5A2C02"/>
    <w:rsid w:val="2EFF3EE6"/>
    <w:rsid w:val="2FD17EAA"/>
    <w:rsid w:val="2FDE2FFD"/>
    <w:rsid w:val="2FE6518C"/>
    <w:rsid w:val="30CE6CD3"/>
    <w:rsid w:val="311B330F"/>
    <w:rsid w:val="3192385D"/>
    <w:rsid w:val="31F278A5"/>
    <w:rsid w:val="325B67C2"/>
    <w:rsid w:val="32665609"/>
    <w:rsid w:val="327461C0"/>
    <w:rsid w:val="32DF17E8"/>
    <w:rsid w:val="3332126F"/>
    <w:rsid w:val="33DD0306"/>
    <w:rsid w:val="3401743D"/>
    <w:rsid w:val="34437258"/>
    <w:rsid w:val="34DF325D"/>
    <w:rsid w:val="35134CB4"/>
    <w:rsid w:val="359D1CA3"/>
    <w:rsid w:val="36010FB1"/>
    <w:rsid w:val="362B222B"/>
    <w:rsid w:val="36323860"/>
    <w:rsid w:val="36A960B8"/>
    <w:rsid w:val="36AE1139"/>
    <w:rsid w:val="36E757B0"/>
    <w:rsid w:val="373B4CF4"/>
    <w:rsid w:val="374965A3"/>
    <w:rsid w:val="38141215"/>
    <w:rsid w:val="392655F8"/>
    <w:rsid w:val="3A10210A"/>
    <w:rsid w:val="3B00217F"/>
    <w:rsid w:val="3B5953EB"/>
    <w:rsid w:val="3C9E74B0"/>
    <w:rsid w:val="3CDC444C"/>
    <w:rsid w:val="3DE271CA"/>
    <w:rsid w:val="3DF17618"/>
    <w:rsid w:val="3E9C21BE"/>
    <w:rsid w:val="406E570E"/>
    <w:rsid w:val="412A3AB2"/>
    <w:rsid w:val="41A75102"/>
    <w:rsid w:val="4243339D"/>
    <w:rsid w:val="428E62C2"/>
    <w:rsid w:val="451E2568"/>
    <w:rsid w:val="456A747C"/>
    <w:rsid w:val="46431D63"/>
    <w:rsid w:val="4685178A"/>
    <w:rsid w:val="47484C91"/>
    <w:rsid w:val="47E726FC"/>
    <w:rsid w:val="480D1A37"/>
    <w:rsid w:val="4851401A"/>
    <w:rsid w:val="491F5EC6"/>
    <w:rsid w:val="494350FD"/>
    <w:rsid w:val="4A7E281A"/>
    <w:rsid w:val="4B6F048A"/>
    <w:rsid w:val="4C2F01CE"/>
    <w:rsid w:val="4C883156"/>
    <w:rsid w:val="4CF1715C"/>
    <w:rsid w:val="4DF3347D"/>
    <w:rsid w:val="4E14317B"/>
    <w:rsid w:val="4EA36C51"/>
    <w:rsid w:val="4F0847F1"/>
    <w:rsid w:val="4F7C5E20"/>
    <w:rsid w:val="50062B51"/>
    <w:rsid w:val="50253B41"/>
    <w:rsid w:val="507043B3"/>
    <w:rsid w:val="50C94FD3"/>
    <w:rsid w:val="50DC1F45"/>
    <w:rsid w:val="50FA7BE2"/>
    <w:rsid w:val="528A42DC"/>
    <w:rsid w:val="52BC3CC9"/>
    <w:rsid w:val="5334431C"/>
    <w:rsid w:val="53A23868"/>
    <w:rsid w:val="54660E4D"/>
    <w:rsid w:val="54A454D1"/>
    <w:rsid w:val="574C257C"/>
    <w:rsid w:val="590A624B"/>
    <w:rsid w:val="590D4FDB"/>
    <w:rsid w:val="59143B62"/>
    <w:rsid w:val="5C766CBC"/>
    <w:rsid w:val="5E88248C"/>
    <w:rsid w:val="5EE412EC"/>
    <w:rsid w:val="5EFD0FC9"/>
    <w:rsid w:val="5F944DE7"/>
    <w:rsid w:val="5FA42829"/>
    <w:rsid w:val="60B56102"/>
    <w:rsid w:val="60CB2DB8"/>
    <w:rsid w:val="613A7F6C"/>
    <w:rsid w:val="62404A8B"/>
    <w:rsid w:val="62EF2728"/>
    <w:rsid w:val="64744EC0"/>
    <w:rsid w:val="64F1206D"/>
    <w:rsid w:val="659155FE"/>
    <w:rsid w:val="659B6C7A"/>
    <w:rsid w:val="669B14AA"/>
    <w:rsid w:val="66EA1469"/>
    <w:rsid w:val="690600B1"/>
    <w:rsid w:val="695A2A86"/>
    <w:rsid w:val="69CA4D9F"/>
    <w:rsid w:val="69CD64A5"/>
    <w:rsid w:val="69FA58FB"/>
    <w:rsid w:val="6A285FC6"/>
    <w:rsid w:val="6AAF6C52"/>
    <w:rsid w:val="6B43383E"/>
    <w:rsid w:val="6B833C3B"/>
    <w:rsid w:val="6BA42449"/>
    <w:rsid w:val="6C836E9C"/>
    <w:rsid w:val="6CB542C8"/>
    <w:rsid w:val="6CC10B7B"/>
    <w:rsid w:val="6D5A5E33"/>
    <w:rsid w:val="6DD16EDF"/>
    <w:rsid w:val="6E0F5142"/>
    <w:rsid w:val="6EF25C23"/>
    <w:rsid w:val="6F162E82"/>
    <w:rsid w:val="6F494DDF"/>
    <w:rsid w:val="7148161C"/>
    <w:rsid w:val="71B42DA0"/>
    <w:rsid w:val="72AC4516"/>
    <w:rsid w:val="731F5A36"/>
    <w:rsid w:val="73320420"/>
    <w:rsid w:val="744F4027"/>
    <w:rsid w:val="76152769"/>
    <w:rsid w:val="763D0CF9"/>
    <w:rsid w:val="77587C91"/>
    <w:rsid w:val="77837E97"/>
    <w:rsid w:val="77A07E4F"/>
    <w:rsid w:val="77F32248"/>
    <w:rsid w:val="785E3A65"/>
    <w:rsid w:val="789631FF"/>
    <w:rsid w:val="79AE68EE"/>
    <w:rsid w:val="7B6E5BC1"/>
    <w:rsid w:val="7BEA0B14"/>
    <w:rsid w:val="7BF859D9"/>
    <w:rsid w:val="7C0264C1"/>
    <w:rsid w:val="7C7A4BE6"/>
    <w:rsid w:val="7CCC3965"/>
    <w:rsid w:val="7D6A4B3F"/>
    <w:rsid w:val="7E277D8E"/>
    <w:rsid w:val="7E6B671F"/>
    <w:rsid w:val="7EC43632"/>
    <w:rsid w:val="7F7122D0"/>
    <w:rsid w:val="7F9D4E73"/>
    <w:rsid w:val="7FB519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2"/>
    <w:next w:val="2"/>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next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表格文字"/>
    <w:basedOn w:val="1"/>
    <w:qFormat/>
    <w:uiPriority w:val="0"/>
    <w:pPr>
      <w:spacing w:before="25" w:after="25"/>
    </w:pPr>
    <w:rPr>
      <w:bCs/>
      <w:spacing w:val="10"/>
    </w:rPr>
  </w:style>
  <w:style w:type="paragraph" w:styleId="1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2022-04-26T18:07:28Z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y fmtid="{D5CDD505-2E9C-101B-9397-08002B2CF9AE}" pid="4" name="commondata">
    <vt:lpwstr>eyJoZGlkIjoiYmM3NDJhNGRkNmZiZjA2OTg3ZjZiMDhkODZkNmNlMjcifQ==</vt:lpwstr>
  </property>
</Properties>
</file>