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sz w:val="24"/>
                <w:szCs w:val="24"/>
              </w:rPr>
            </w:pPr>
            <w:r>
              <w:rPr>
                <w:rFonts w:hint="eastAsia"/>
                <w:sz w:val="24"/>
                <w:szCs w:val="24"/>
              </w:rPr>
              <w:t>受审核部门：</w:t>
            </w:r>
            <w:r>
              <w:rPr>
                <w:rFonts w:hint="eastAsia"/>
                <w:sz w:val="24"/>
                <w:szCs w:val="24"/>
                <w:lang w:val="en-US" w:eastAsia="zh-CN"/>
              </w:rPr>
              <w:t>销售部；</w:t>
            </w:r>
            <w:r>
              <w:rPr>
                <w:rFonts w:hint="eastAsia"/>
                <w:sz w:val="24"/>
                <w:szCs w:val="24"/>
              </w:rPr>
              <w:t>主管领导</w:t>
            </w:r>
            <w:r>
              <w:rPr>
                <w:rFonts w:hint="eastAsia"/>
                <w:sz w:val="24"/>
                <w:szCs w:val="24"/>
                <w:lang w:val="en-US" w:eastAsia="zh-CN"/>
              </w:rPr>
              <w:t>/</w:t>
            </w:r>
            <w:r>
              <w:rPr>
                <w:rFonts w:hint="eastAsia"/>
                <w:sz w:val="24"/>
                <w:szCs w:val="24"/>
              </w:rPr>
              <w:t>陪同人员：蔡志文</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pPr>
            <w:r>
              <w:rPr>
                <w:rFonts w:hint="eastAsia"/>
                <w:sz w:val="24"/>
                <w:szCs w:val="24"/>
              </w:rPr>
              <w:t>审核员：</w:t>
            </w:r>
            <w:bookmarkStart w:id="0" w:name="审核组成员不含组长"/>
            <w:bookmarkEnd w:id="0"/>
            <w:r>
              <w:rPr>
                <w:rFonts w:hint="eastAsia"/>
                <w:sz w:val="24"/>
                <w:szCs w:val="24"/>
                <w:lang w:val="en-US" w:eastAsia="zh-CN"/>
              </w:rPr>
              <w:t>周文/远程；</w:t>
            </w:r>
            <w:bookmarkStart w:id="4" w:name="_GoBack"/>
            <w:bookmarkEnd w:id="4"/>
            <w:r>
              <w:rPr>
                <w:rFonts w:hint="eastAsia"/>
                <w:sz w:val="24"/>
                <w:szCs w:val="24"/>
              </w:rPr>
              <w:t>审核时间：</w:t>
            </w:r>
            <w:bookmarkStart w:id="1" w:name="审核日期"/>
            <w:r>
              <w:t>2022年04月2</w:t>
            </w:r>
            <w:r>
              <w:rPr>
                <w:rFonts w:hint="eastAsia"/>
                <w:lang w:val="en-US" w:eastAsia="zh-CN"/>
              </w:rPr>
              <w:t>6</w:t>
            </w:r>
            <w:r>
              <w:t xml:space="preserve">日 </w:t>
            </w:r>
            <w:bookmarkEnd w:id="1"/>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240" w:lineRule="auto"/>
              <w:rPr>
                <w:rFonts w:hint="eastAsia"/>
                <w:sz w:val="24"/>
                <w:szCs w:val="24"/>
              </w:rPr>
            </w:pPr>
            <w:r>
              <w:rPr>
                <w:rFonts w:hint="eastAsia"/>
                <w:sz w:val="24"/>
                <w:szCs w:val="24"/>
              </w:rPr>
              <w:t>审核条款：</w:t>
            </w:r>
          </w:p>
          <w:p>
            <w:pPr>
              <w:numPr>
                <w:ilvl w:val="0"/>
                <w:numId w:val="0"/>
              </w:numPr>
              <w:tabs>
                <w:tab w:val="left" w:pos="709"/>
              </w:tabs>
              <w:spacing w:line="240" w:lineRule="auto"/>
              <w:ind w:right="57" w:rightChars="0"/>
              <w:rPr>
                <w:rFonts w:hint="eastAsia"/>
                <w:sz w:val="21"/>
                <w:szCs w:val="21"/>
              </w:rPr>
            </w:pPr>
            <w:r>
              <w:rPr>
                <w:rFonts w:hint="eastAsia"/>
                <w:sz w:val="21"/>
                <w:szCs w:val="21"/>
                <w:lang w:val="en-US" w:eastAsia="zh-CN"/>
              </w:rPr>
              <w:t>1、</w:t>
            </w:r>
            <w:r>
              <w:rPr>
                <w:sz w:val="21"/>
                <w:szCs w:val="21"/>
              </w:rPr>
              <w:t>部门</w:t>
            </w:r>
            <w:r>
              <w:rPr>
                <w:rFonts w:hint="eastAsia"/>
                <w:sz w:val="21"/>
                <w:szCs w:val="21"/>
              </w:rPr>
              <w:t>ES管理体系综合策划过程</w:t>
            </w:r>
            <w:r>
              <w:rPr>
                <w:rFonts w:hint="eastAsia"/>
                <w:sz w:val="21"/>
                <w:szCs w:val="21"/>
                <w:lang w:val="en-US" w:eastAsia="zh-CN"/>
              </w:rPr>
              <w:t>的适宜性；</w:t>
            </w:r>
          </w:p>
          <w:p>
            <w:pPr>
              <w:numPr>
                <w:ilvl w:val="0"/>
                <w:numId w:val="0"/>
              </w:numPr>
              <w:tabs>
                <w:tab w:val="left" w:pos="709"/>
              </w:tabs>
              <w:spacing w:line="240" w:lineRule="auto"/>
              <w:ind w:right="57" w:rightChars="0"/>
              <w:rPr>
                <w:rFonts w:hint="default" w:eastAsia="宋体"/>
                <w:sz w:val="21"/>
                <w:szCs w:val="21"/>
                <w:lang w:val="en-US" w:eastAsia="zh-CN"/>
              </w:rPr>
            </w:pPr>
            <w:r>
              <w:rPr>
                <w:rFonts w:hint="eastAsia"/>
                <w:sz w:val="21"/>
                <w:szCs w:val="21"/>
                <w:lang w:val="en-US" w:eastAsia="zh-CN"/>
              </w:rPr>
              <w:t>*部门职责分配、目标管理的有效性；（ES5.3、6.2）</w:t>
            </w:r>
          </w:p>
          <w:p>
            <w:pPr>
              <w:numPr>
                <w:ilvl w:val="0"/>
                <w:numId w:val="0"/>
              </w:numPr>
              <w:tabs>
                <w:tab w:val="left" w:pos="709"/>
              </w:tabs>
              <w:spacing w:line="240" w:lineRule="auto"/>
              <w:ind w:right="57" w:rightChars="0"/>
              <w:rPr>
                <w:rFonts w:hint="eastAsia"/>
                <w:sz w:val="21"/>
                <w:szCs w:val="21"/>
                <w:lang w:val="en-US" w:eastAsia="zh-CN"/>
              </w:rPr>
            </w:pPr>
            <w:r>
              <w:rPr>
                <w:rFonts w:hint="eastAsia"/>
                <w:sz w:val="21"/>
                <w:szCs w:val="21"/>
                <w:lang w:val="en-US" w:eastAsia="zh-CN"/>
              </w:rPr>
              <w:t>*</w:t>
            </w:r>
            <w:bookmarkStart w:id="2" w:name="OLE_LINK1"/>
            <w:r>
              <w:rPr>
                <w:rFonts w:hint="eastAsia" w:ascii="Times New Roman" w:hAnsi="Times New Roman" w:eastAsia="宋体" w:cs="Times New Roman"/>
                <w:sz w:val="21"/>
                <w:szCs w:val="21"/>
                <w:lang w:val="en-US" w:eastAsia="zh-CN"/>
              </w:rPr>
              <w:t>环保固液分离设备（压滤机、柱塞泵）的销售</w:t>
            </w:r>
            <w:bookmarkEnd w:id="2"/>
            <w:r>
              <w:rPr>
                <w:sz w:val="21"/>
                <w:szCs w:val="21"/>
              </w:rPr>
              <w:t>业务过程风险确定及策划，包括</w:t>
            </w:r>
            <w:r>
              <w:rPr>
                <w:rFonts w:hint="eastAsia"/>
                <w:sz w:val="21"/>
                <w:szCs w:val="21"/>
                <w:lang w:val="en-US" w:eastAsia="zh-CN"/>
              </w:rPr>
              <w:t>环境因素、危险源和职业健康安全风险和机遇识别与评价的有效性</w:t>
            </w:r>
            <w:r>
              <w:rPr>
                <w:rFonts w:hint="eastAsia"/>
                <w:sz w:val="21"/>
                <w:szCs w:val="21"/>
                <w:lang w:eastAsia="zh-CN"/>
              </w:rPr>
              <w:t>；</w:t>
            </w:r>
            <w:r>
              <w:rPr>
                <w:rFonts w:hint="eastAsia"/>
                <w:sz w:val="21"/>
                <w:szCs w:val="21"/>
                <w:lang w:val="en-US" w:eastAsia="zh-CN"/>
              </w:rPr>
              <w:t>(ES6.1.2、6.1.4）</w:t>
            </w:r>
          </w:p>
          <w:p>
            <w:pPr>
              <w:spacing w:line="240" w:lineRule="auto"/>
              <w:rPr>
                <w:rFonts w:hint="eastAsia"/>
                <w:sz w:val="24"/>
                <w:szCs w:val="24"/>
              </w:rPr>
            </w:pPr>
            <w:r>
              <w:rPr>
                <w:rFonts w:hint="eastAsia"/>
                <w:sz w:val="21"/>
                <w:szCs w:val="21"/>
                <w:lang w:val="en-US" w:eastAsia="zh-CN"/>
              </w:rPr>
              <w:t>2、</w:t>
            </w:r>
            <w:r>
              <w:rPr>
                <w:bCs w:val="0"/>
                <w:spacing w:val="0"/>
                <w:sz w:val="21"/>
                <w:szCs w:val="21"/>
              </w:rPr>
              <w:t>结合</w:t>
            </w:r>
            <w:r>
              <w:rPr>
                <w:rFonts w:hint="eastAsia" w:ascii="Times New Roman" w:hAnsi="Times New Roman" w:eastAsia="宋体" w:cs="Times New Roman"/>
                <w:sz w:val="21"/>
                <w:szCs w:val="21"/>
                <w:lang w:val="en-US" w:eastAsia="zh-CN"/>
              </w:rPr>
              <w:t>环保固液分离设备（压滤机、柱塞泵）的销售</w:t>
            </w:r>
            <w:r>
              <w:rPr>
                <w:bCs w:val="0"/>
                <w:spacing w:val="0"/>
                <w:sz w:val="21"/>
                <w:szCs w:val="21"/>
              </w:rPr>
              <w:t>业务过程活动，关注其环境因素、危险源辨识</w:t>
            </w:r>
            <w:r>
              <w:rPr>
                <w:rFonts w:hint="eastAsia"/>
                <w:bCs w:val="0"/>
                <w:spacing w:val="0"/>
                <w:sz w:val="21"/>
                <w:szCs w:val="21"/>
                <w:lang w:val="en-US" w:eastAsia="zh-CN"/>
              </w:rPr>
              <w:t>和职业健康安全风险和机遇</w:t>
            </w:r>
            <w:r>
              <w:rPr>
                <w:bCs w:val="0"/>
                <w:spacing w:val="0"/>
                <w:sz w:val="21"/>
                <w:szCs w:val="21"/>
              </w:rPr>
              <w:t>运行控制的有效性与应急响应控制</w:t>
            </w:r>
            <w:r>
              <w:rPr>
                <w:rFonts w:hint="eastAsia"/>
                <w:bCs w:val="0"/>
                <w:spacing w:val="0"/>
                <w:sz w:val="21"/>
                <w:szCs w:val="21"/>
                <w:lang w:eastAsia="zh-CN"/>
              </w:rPr>
              <w:t>；（</w:t>
            </w:r>
            <w:r>
              <w:rPr>
                <w:rFonts w:hint="eastAsia"/>
                <w:bCs w:val="0"/>
                <w:spacing w:val="0"/>
                <w:sz w:val="21"/>
                <w:szCs w:val="21"/>
                <w:lang w:val="en-US" w:eastAsia="zh-CN"/>
              </w:rPr>
              <w:t>ES8.1、8.2）</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pPr>
            <w:r>
              <w:rPr>
                <w:rFonts w:hint="eastAsia"/>
                <w:sz w:val="21"/>
                <w:szCs w:val="21"/>
                <w:lang w:val="en-US" w:eastAsia="zh-CN"/>
              </w:rPr>
              <w:t>部门职责分配、目标管理</w:t>
            </w:r>
          </w:p>
        </w:tc>
        <w:tc>
          <w:tcPr>
            <w:tcW w:w="960" w:type="dxa"/>
          </w:tcPr>
          <w:p>
            <w:pPr>
              <w:spacing w:line="240" w:lineRule="auto"/>
            </w:pPr>
            <w:r>
              <w:rPr>
                <w:rFonts w:hint="eastAsia"/>
                <w:sz w:val="21"/>
                <w:szCs w:val="21"/>
                <w:lang w:val="en-US" w:eastAsia="zh-CN"/>
              </w:rPr>
              <w:t>ES5.3、6.2</w:t>
            </w:r>
          </w:p>
        </w:tc>
        <w:tc>
          <w:tcPr>
            <w:tcW w:w="10004" w:type="dxa"/>
          </w:tcPr>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eastAsia" w:ascii="Times New Roman" w:hAnsi="Times New Roman" w:eastAsia="宋体" w:cs="Times New Roman"/>
              </w:rPr>
              <w:t>部门负责</w:t>
            </w:r>
            <w:r>
              <w:rPr>
                <w:rFonts w:hint="eastAsia" w:ascii="Times New Roman" w:hAnsi="Times New Roman" w:eastAsia="宋体" w:cs="Times New Roman"/>
                <w:lang w:val="en-US" w:eastAsia="zh-CN"/>
              </w:rPr>
              <w:t>人蔡志文介</w:t>
            </w:r>
            <w:r>
              <w:rPr>
                <w:rFonts w:hint="eastAsia" w:ascii="Times New Roman" w:hAnsi="Times New Roman" w:eastAsia="宋体" w:cs="Times New Roman"/>
              </w:rPr>
              <w:t>绍,本部门主要负责以下工作内容：</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理解本公司的环境和职业健康安全方针，增强满足顾客要求的意识；</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负责与顾客沟通，收集、处理有关信息，负责组织与产品有关要求的评审； </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负责公司产品的宣传、推广、销售、回款以及公司的形象宣传等所有销售活动管理。</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负责保持与顾客进行有关的环境/职业健康安全信息交流，并将管理信息传递给有关人员。</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跟踪核查其</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管理手册”5.3 组织的角色、职责和权限、E销售部的</w:t>
            </w:r>
            <w:r>
              <w:rPr>
                <w:rFonts w:hint="eastAsia" w:ascii="Times New Roman" w:hAnsi="Times New Roman" w:eastAsia="宋体" w:cs="Times New Roman"/>
              </w:rPr>
              <w:t>内容，其部门负责人表述与文件规定基本一致。</w:t>
            </w:r>
          </w:p>
          <w:p>
            <w:pPr>
              <w:spacing w:line="240" w:lineRule="auto"/>
              <w:jc w:val="left"/>
              <w:rPr>
                <w:rFonts w:hint="eastAsia" w:ascii="Times New Roman" w:hAnsi="Times New Roman" w:eastAsia="宋体" w:cs="Times New Roman"/>
                <w:lang w:eastAsia="zh-CN"/>
              </w:rPr>
            </w:pPr>
            <w:r>
              <w:rPr>
                <w:rFonts w:hint="eastAsia" w:ascii="Times New Roman" w:hAnsi="Times New Roman" w:eastAsia="宋体" w:cs="Times New Roman"/>
              </w:rPr>
              <w:t>——岗位、职责和权限明确</w:t>
            </w:r>
            <w:r>
              <w:rPr>
                <w:rFonts w:hint="eastAsia" w:ascii="Times New Roman" w:hAnsi="Times New Roman" w:eastAsia="宋体" w:cs="Times New Roman"/>
                <w:lang w:eastAsia="zh-CN"/>
              </w:rPr>
              <w:t>。</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---本部门执行主控部门</w:t>
            </w:r>
            <w:r>
              <w:rPr>
                <w:rFonts w:hint="eastAsia" w:ascii="Times New Roman" w:hAnsi="Times New Roman" w:eastAsia="宋体" w:cs="Times New Roman"/>
              </w:rPr>
              <w:t>策划</w:t>
            </w:r>
            <w:r>
              <w:rPr>
                <w:rFonts w:hint="eastAsia" w:ascii="Times New Roman" w:hAnsi="Times New Roman" w:eastAsia="宋体" w:cs="Times New Roman"/>
                <w:lang w:val="en-US" w:eastAsia="zh-CN"/>
              </w:rPr>
              <w:t>的</w:t>
            </w:r>
            <w:r>
              <w:rPr>
                <w:rFonts w:hint="eastAsia" w:ascii="Times New Roman" w:hAnsi="Times New Roman" w:eastAsia="宋体" w:cs="Times New Roman"/>
              </w:rPr>
              <w:t>“环境管理方案”，“</w:t>
            </w:r>
            <w:r>
              <w:rPr>
                <w:rFonts w:hint="eastAsia" w:ascii="Times New Roman" w:hAnsi="Times New Roman" w:eastAsia="宋体" w:cs="Times New Roman"/>
                <w:lang w:val="en-US" w:eastAsia="zh-CN"/>
              </w:rPr>
              <w:t>职业健康</w:t>
            </w:r>
            <w:r>
              <w:rPr>
                <w:rFonts w:hint="eastAsia" w:ascii="Times New Roman" w:hAnsi="Times New Roman" w:eastAsia="宋体" w:cs="Times New Roman"/>
              </w:rPr>
              <w:t>安全管理方案”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对目标的制订准则，考核方法、频率、责任部门等做出了规定；编审批日期齐全。</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w:t>
            </w:r>
            <w:r>
              <w:rPr>
                <w:rFonts w:hint="eastAsia" w:ascii="Times New Roman" w:hAnsi="Times New Roman" w:eastAsia="宋体" w:cs="Times New Roman"/>
              </w:rPr>
              <w:t>“目标达成统计表”</w:t>
            </w:r>
            <w:r>
              <w:rPr>
                <w:rFonts w:hint="eastAsia" w:ascii="Times New Roman" w:hAnsi="Times New Roman" w:eastAsia="宋体" w:cs="Times New Roman"/>
                <w:lang w:val="en-US" w:eastAsia="zh-CN"/>
              </w:rPr>
              <w:t>最</w:t>
            </w:r>
            <w:bookmarkStart w:id="3" w:name="OLE_LINK2"/>
            <w:r>
              <w:rPr>
                <w:rFonts w:hint="eastAsia" w:ascii="Times New Roman" w:hAnsi="Times New Roman" w:eastAsia="宋体" w:cs="Times New Roman"/>
                <w:lang w:val="en-US" w:eastAsia="zh-CN"/>
              </w:rPr>
              <w:t>后统计</w:t>
            </w:r>
            <w:r>
              <w:rPr>
                <w:rFonts w:hint="eastAsia" w:ascii="Times New Roman" w:hAnsi="Times New Roman" w:eastAsia="宋体" w:cs="Times New Roman"/>
              </w:rPr>
              <w:t>日期：202</w:t>
            </w:r>
            <w:r>
              <w:rPr>
                <w:rFonts w:hint="eastAsia" w:ascii="Times New Roman" w:hAnsi="Times New Roman" w:eastAsia="宋体" w:cs="Times New Roman"/>
                <w:lang w:val="en-US" w:eastAsia="zh-CN"/>
              </w:rPr>
              <w:t>2.3.31.</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考核频率：月；内容显示：ES目标建立以来未曾变更；2021年5月-2022年3月部门分解目标均已达成。抽查如下：</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销售部</w:t>
            </w:r>
            <w:r>
              <w:rPr>
                <w:rFonts w:hint="eastAsia" w:ascii="Times New Roman" w:hAnsi="Times New Roman" w:eastAsia="宋体" w:cs="Times New Roman"/>
              </w:rPr>
              <w:tab/>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固体废弃物分类管理，处置率100%；</w:t>
            </w:r>
            <w:r>
              <w:rPr>
                <w:rFonts w:hint="eastAsia" w:ascii="Times New Roman" w:hAnsi="Times New Roman" w:eastAsia="宋体" w:cs="Times New Roman"/>
              </w:rPr>
              <w:tab/>
            </w:r>
            <w:r>
              <w:rPr>
                <w:rFonts w:hint="eastAsia" w:ascii="Times New Roman" w:hAnsi="Times New Roman" w:eastAsia="宋体" w:cs="Times New Roman"/>
              </w:rPr>
              <w:t>100%</w:t>
            </w:r>
            <w:r>
              <w:rPr>
                <w:rFonts w:hint="eastAsia" w:ascii="Times New Roman" w:hAnsi="Times New Roman" w:eastAsia="宋体" w:cs="Times New Roman"/>
              </w:rPr>
              <w:tab/>
            </w:r>
            <w:r>
              <w:rPr>
                <w:rFonts w:hint="eastAsia" w:ascii="Times New Roman" w:hAnsi="Times New Roman" w:eastAsia="宋体" w:cs="Times New Roman"/>
              </w:rPr>
              <w:t>100%</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杜绝火灾事故。</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p>
          <w:bookmarkEnd w:id="3"/>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触电事故为0次/年;</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火灾事故为0次/年；</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0</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p>
          <w:p>
            <w:p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交通意外事故为0次/年。</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r>
              <w:rPr>
                <w:rFonts w:hint="eastAsia" w:ascii="Times New Roman" w:hAnsi="Times New Roman" w:eastAsia="宋体" w:cs="Times New Roman"/>
              </w:rPr>
              <w:tab/>
            </w:r>
            <w:r>
              <w:rPr>
                <w:rFonts w:hint="eastAsia" w:ascii="Times New Roman" w:hAnsi="Times New Roman" w:eastAsia="宋体" w:cs="Times New Roman"/>
              </w:rPr>
              <w:t>0</w:t>
            </w:r>
          </w:p>
          <w:p>
            <w:pPr>
              <w:spacing w:line="240" w:lineRule="auto"/>
              <w:jc w:val="left"/>
            </w:pPr>
            <w:r>
              <w:rPr>
                <w:rFonts w:hint="eastAsia" w:ascii="Times New Roman" w:hAnsi="Times New Roman" w:eastAsia="宋体" w:cs="Times New Roman"/>
                <w:lang w:val="en-US" w:eastAsia="zh-CN"/>
              </w:rPr>
              <w:t>——部门目标管理符合要求。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pPr>
            <w:r>
              <w:rPr>
                <w:rFonts w:hint="eastAsia" w:ascii="Times New Roman" w:hAnsi="Times New Roman" w:eastAsia="宋体" w:cs="Times New Roman"/>
                <w:sz w:val="21"/>
                <w:szCs w:val="21"/>
                <w:lang w:val="en-US" w:eastAsia="zh-CN"/>
              </w:rPr>
              <w:t>销售</w:t>
            </w:r>
            <w:r>
              <w:rPr>
                <w:sz w:val="21"/>
                <w:szCs w:val="21"/>
              </w:rPr>
              <w:t>业务过程风险确定及策划</w:t>
            </w:r>
          </w:p>
        </w:tc>
        <w:tc>
          <w:tcPr>
            <w:tcW w:w="960" w:type="dxa"/>
          </w:tcPr>
          <w:p>
            <w:pPr>
              <w:spacing w:line="240" w:lineRule="auto"/>
            </w:pPr>
            <w:r>
              <w:rPr>
                <w:rFonts w:hint="eastAsia"/>
                <w:sz w:val="21"/>
                <w:szCs w:val="21"/>
                <w:lang w:val="en-US" w:eastAsia="zh-CN"/>
              </w:rPr>
              <w:t>ES6.1.2、6.1.4</w:t>
            </w:r>
          </w:p>
        </w:tc>
        <w:tc>
          <w:tcPr>
            <w:tcW w:w="10004" w:type="dxa"/>
          </w:tcPr>
          <w:p>
            <w:pPr>
              <w:spacing w:line="24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负责人介绍，本部门环境、安全策划按照主控部门策划的《环境因素识别与评价控制程序》、《危险源辨识与风险评价控制程序》、“环境、安全管理方案”等文件进行控制。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环境因素识别与控制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---查“环境因素调查评价表 ”2021.11.2.；识别有销售活动以及服务过程的环境因素、环境因素评价，环境因素包括能源资源消耗、污水排放、日光灯的废弃、生活垃圾排放、潜在火灾等</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---查“重要环境因素清单”，识别了与本部门相关的重要环境因素共2项，具体为：</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1、潜在火灾</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控制措施：运行控制、制定管理方案、应急预案；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2、固体废弃物（含危废）</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控制措施：运行控制、制定管理方案；</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危险源及职业健康安全风险和职业健康安全管理体系的其他风险和机遇的识别与控制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危险源辩识及风险评价表”2021.11.2.；识别与本部门有关的危险源和职业健康安全管理体系的其他风险具体有：不遵守交通法规,发生交通事故、电线裸露，导致触电、复印机辐射伤害、夏季高温外出进行销售活动导致中暑、遭遇抢劫，造成人员伤害等。</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---查“不可接受风险清单”清单，识别的主要危险源及职业健康安全风险：</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防护缺陷、违章等</w:t>
            </w:r>
            <w:r>
              <w:rPr>
                <w:rFonts w:hint="eastAsia" w:ascii="Times New Roman" w:hAnsi="Times New Roman" w:eastAsia="宋体" w:cs="Times New Roman"/>
                <w:lang w:val="en-US" w:eastAsia="zh-CN"/>
              </w:rPr>
              <w:t>导致</w:t>
            </w:r>
            <w:r>
              <w:rPr>
                <w:rFonts w:hint="default" w:ascii="Times New Roman" w:hAnsi="Times New Roman" w:eastAsia="宋体" w:cs="Times New Roman"/>
                <w:lang w:val="en-US" w:eastAsia="zh-CN"/>
              </w:rPr>
              <w:t>意外伤害</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2、夏季高温作业违章指挥、防护缺陷等导致中暑</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3、办公用电控制不当导致火灾</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4、突发疫情损害健康</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a.制定管理方案;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b.制定管理程序;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c.制订应急预案;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d.制订作业指导文件;  </w:t>
            </w:r>
          </w:p>
          <w:p>
            <w:pPr>
              <w:spacing w:line="240" w:lineRule="auto"/>
              <w:jc w:val="left"/>
            </w:pPr>
            <w:r>
              <w:rPr>
                <w:rFonts w:hint="eastAsia" w:ascii="Times New Roman" w:hAnsi="Times New Roman" w:eastAsia="宋体" w:cs="Times New Roman"/>
                <w:lang w:val="en-US" w:eastAsia="zh-CN"/>
              </w:rPr>
              <w:t>——基本符合。</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pPr>
            <w:r>
              <w:rPr>
                <w:rFonts w:hint="eastAsia" w:ascii="Times New Roman" w:hAnsi="Times New Roman" w:eastAsia="宋体" w:cs="Times New Roman"/>
                <w:sz w:val="21"/>
                <w:szCs w:val="21"/>
                <w:lang w:val="en-US" w:eastAsia="zh-CN"/>
              </w:rPr>
              <w:t>销售</w:t>
            </w:r>
            <w:r>
              <w:rPr>
                <w:bCs w:val="0"/>
                <w:spacing w:val="0"/>
                <w:sz w:val="21"/>
                <w:szCs w:val="21"/>
              </w:rPr>
              <w:t>业务过程活动运行控制的有效性与应急响应控制</w:t>
            </w:r>
          </w:p>
        </w:tc>
        <w:tc>
          <w:tcPr>
            <w:tcW w:w="960" w:type="dxa"/>
          </w:tcPr>
          <w:p>
            <w:pPr>
              <w:spacing w:line="240" w:lineRule="auto"/>
            </w:pPr>
            <w:r>
              <w:rPr>
                <w:rFonts w:hint="eastAsia"/>
                <w:bCs w:val="0"/>
                <w:spacing w:val="0"/>
                <w:sz w:val="21"/>
                <w:szCs w:val="21"/>
                <w:lang w:val="en-US" w:eastAsia="zh-CN"/>
              </w:rPr>
              <w:t>ES8.1、8.2</w:t>
            </w:r>
          </w:p>
        </w:tc>
        <w:tc>
          <w:tcPr>
            <w:tcW w:w="10004"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远程查看，办公场所配备有空调、照明灯具、垃圾筐、消防箱两个，定置存放，压力及合格证有效。办公场所整洁，未发现固废随意排放情况，办公及生活垃圾按物业要求放置，未发现有违规用电、用火情况，未发现有明显的安全隐患，生活污水排入市政管网。</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---查合同，条款规定产品装卸由客户负责。</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---负责人表述，公司订单式生产、没有库房；同物流商签订安全协议，运输过程由物流负责，客户负责产品装卸，外包装由客户负责处理。</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---查“致相关方一封信”，2021.11.2.；内容包括向客户、供应商、废品收购部门等相关方，通报ES方针、目标、合规性要求等。</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 “环境和安全运行检查记录表 ”——具体见综合部相关条款。</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——部门运行控制符合要求。</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公司策划有《应急准备与响应程序》。</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---部门参与了2021.11.25.的消防应急演练，有效果评价。</w:t>
            </w:r>
          </w:p>
          <w:p>
            <w:pPr>
              <w:spacing w:line="240" w:lineRule="auto"/>
              <w:jc w:val="left"/>
              <w:rPr>
                <w:rFonts w:hint="default"/>
                <w:lang w:val="en-US" w:eastAsia="zh-CN"/>
              </w:rPr>
            </w:pPr>
            <w:r>
              <w:rPr>
                <w:rFonts w:hint="eastAsia" w:ascii="Times New Roman" w:hAnsi="Times New Roman" w:eastAsia="宋体" w:cs="Times New Roman"/>
                <w:lang w:val="en-US" w:eastAsia="zh-CN"/>
              </w:rPr>
              <w:t>——应急响应控制符合。</w:t>
            </w:r>
          </w:p>
        </w:tc>
        <w:tc>
          <w:tcPr>
            <w:tcW w:w="1585" w:type="dxa"/>
          </w:tcPr>
          <w:p>
            <w:pPr>
              <w:spacing w:line="240" w:lineRule="auto"/>
              <w:rPr>
                <w:rFonts w:hint="eastAsia" w:eastAsia="宋体"/>
                <w:lang w:val="en-US" w:eastAsia="zh-CN"/>
              </w:rPr>
            </w:pPr>
            <w:r>
              <w:rPr>
                <w:rFonts w:hint="eastAsia"/>
                <w:lang w:val="en-US" w:eastAsia="zh-CN"/>
              </w:rPr>
              <w:t>Y</w:t>
            </w:r>
          </w:p>
        </w:tc>
      </w:tr>
    </w:tbl>
    <w:p>
      <w:pPr>
        <w:spacing w:line="240" w:lineRule="auto"/>
        <w:rPr>
          <w:rFonts w:hint="default" w:eastAsia="宋体"/>
          <w:lang w:val="en-US" w:eastAsia="zh-CN"/>
        </w:rPr>
      </w:pPr>
      <w:r>
        <w:ptab w:relativeTo="margin" w:alignment="center" w:leader="none"/>
      </w:r>
    </w:p>
    <w:p>
      <w:pPr>
        <w:spacing w:line="240" w:lineRule="auto"/>
      </w:pPr>
    </w:p>
    <w:p>
      <w:pPr>
        <w:pStyle w:val="5"/>
        <w:spacing w:line="240" w:lineRule="auto"/>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213AF"/>
    <w:rsid w:val="00246B03"/>
    <w:rsid w:val="030A0A72"/>
    <w:rsid w:val="0361307E"/>
    <w:rsid w:val="03B24C65"/>
    <w:rsid w:val="055A192E"/>
    <w:rsid w:val="05B4138F"/>
    <w:rsid w:val="05C141CF"/>
    <w:rsid w:val="05D267DA"/>
    <w:rsid w:val="060C68AF"/>
    <w:rsid w:val="0624009C"/>
    <w:rsid w:val="069468A4"/>
    <w:rsid w:val="07F759B4"/>
    <w:rsid w:val="08A6059A"/>
    <w:rsid w:val="0A5C0890"/>
    <w:rsid w:val="0A966B3E"/>
    <w:rsid w:val="0CE82A48"/>
    <w:rsid w:val="0F8E2A2A"/>
    <w:rsid w:val="10E87F18"/>
    <w:rsid w:val="11BA3663"/>
    <w:rsid w:val="138F0B1F"/>
    <w:rsid w:val="13FE64AF"/>
    <w:rsid w:val="15183362"/>
    <w:rsid w:val="154E289B"/>
    <w:rsid w:val="15712BD2"/>
    <w:rsid w:val="16576CAA"/>
    <w:rsid w:val="16841D05"/>
    <w:rsid w:val="16DD4A18"/>
    <w:rsid w:val="18047E23"/>
    <w:rsid w:val="18D10D61"/>
    <w:rsid w:val="192428ED"/>
    <w:rsid w:val="193B3273"/>
    <w:rsid w:val="194A1F21"/>
    <w:rsid w:val="1A147EE2"/>
    <w:rsid w:val="1A9967C9"/>
    <w:rsid w:val="1AA43102"/>
    <w:rsid w:val="1B3267BA"/>
    <w:rsid w:val="1EBB1463"/>
    <w:rsid w:val="1F447EFD"/>
    <w:rsid w:val="20196340"/>
    <w:rsid w:val="205072DC"/>
    <w:rsid w:val="208C30AB"/>
    <w:rsid w:val="21386A73"/>
    <w:rsid w:val="23DF164F"/>
    <w:rsid w:val="255B2F57"/>
    <w:rsid w:val="260A2F54"/>
    <w:rsid w:val="27982B54"/>
    <w:rsid w:val="27BF3329"/>
    <w:rsid w:val="27CB6172"/>
    <w:rsid w:val="283830DC"/>
    <w:rsid w:val="2A1C2CB5"/>
    <w:rsid w:val="2AC5334C"/>
    <w:rsid w:val="2C4209CD"/>
    <w:rsid w:val="2C9E78E2"/>
    <w:rsid w:val="2D880B86"/>
    <w:rsid w:val="2FD7142C"/>
    <w:rsid w:val="30A752A2"/>
    <w:rsid w:val="30C742CB"/>
    <w:rsid w:val="316E0C38"/>
    <w:rsid w:val="31CE3FBE"/>
    <w:rsid w:val="3203475A"/>
    <w:rsid w:val="348A0FBD"/>
    <w:rsid w:val="34C91C8B"/>
    <w:rsid w:val="37573378"/>
    <w:rsid w:val="375D3BF0"/>
    <w:rsid w:val="37733716"/>
    <w:rsid w:val="38FD1F03"/>
    <w:rsid w:val="392F36D0"/>
    <w:rsid w:val="3988057E"/>
    <w:rsid w:val="3B1D6D02"/>
    <w:rsid w:val="3B903503"/>
    <w:rsid w:val="3C3A18E9"/>
    <w:rsid w:val="3C8B7826"/>
    <w:rsid w:val="3E9D611B"/>
    <w:rsid w:val="3EF9251F"/>
    <w:rsid w:val="3F2B1F58"/>
    <w:rsid w:val="3F436EA7"/>
    <w:rsid w:val="3FD71EBF"/>
    <w:rsid w:val="3FE32117"/>
    <w:rsid w:val="401D2E8B"/>
    <w:rsid w:val="40D774DE"/>
    <w:rsid w:val="43777AB5"/>
    <w:rsid w:val="44B813D4"/>
    <w:rsid w:val="45392808"/>
    <w:rsid w:val="45A570F5"/>
    <w:rsid w:val="47867568"/>
    <w:rsid w:val="488C45C0"/>
    <w:rsid w:val="4A51136C"/>
    <w:rsid w:val="4C5440D8"/>
    <w:rsid w:val="4CC57E3F"/>
    <w:rsid w:val="4DEB61A9"/>
    <w:rsid w:val="50E040FA"/>
    <w:rsid w:val="5176689F"/>
    <w:rsid w:val="52D47B57"/>
    <w:rsid w:val="5579070C"/>
    <w:rsid w:val="57043287"/>
    <w:rsid w:val="572C1BBD"/>
    <w:rsid w:val="58726012"/>
    <w:rsid w:val="5A960B0F"/>
    <w:rsid w:val="5B4B66A7"/>
    <w:rsid w:val="5C5679F9"/>
    <w:rsid w:val="5F025C16"/>
    <w:rsid w:val="5F5C38AD"/>
    <w:rsid w:val="606E3563"/>
    <w:rsid w:val="60BA5CE1"/>
    <w:rsid w:val="60CE383C"/>
    <w:rsid w:val="61127CE5"/>
    <w:rsid w:val="621E54E4"/>
    <w:rsid w:val="62782C82"/>
    <w:rsid w:val="63584057"/>
    <w:rsid w:val="66AA2E1B"/>
    <w:rsid w:val="6880030F"/>
    <w:rsid w:val="689E3726"/>
    <w:rsid w:val="69044DAC"/>
    <w:rsid w:val="6933534A"/>
    <w:rsid w:val="69EC46D6"/>
    <w:rsid w:val="6A1011E7"/>
    <w:rsid w:val="6AA61BD5"/>
    <w:rsid w:val="6AD7507E"/>
    <w:rsid w:val="6B8278E4"/>
    <w:rsid w:val="6BAD0172"/>
    <w:rsid w:val="6DCA5ADA"/>
    <w:rsid w:val="6E182FD2"/>
    <w:rsid w:val="72DF0892"/>
    <w:rsid w:val="75644ADD"/>
    <w:rsid w:val="76044FAF"/>
    <w:rsid w:val="774D5910"/>
    <w:rsid w:val="77996CC0"/>
    <w:rsid w:val="79D55FA9"/>
    <w:rsid w:val="7A523156"/>
    <w:rsid w:val="7C9537CE"/>
    <w:rsid w:val="7EFB1DCC"/>
    <w:rsid w:val="7FA86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character" w:customStyle="1" w:styleId="9">
    <w:name w:val="页眉 Char"/>
    <w:basedOn w:val="8"/>
    <w:link w:val="2"/>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2022-04-26T18:07:48Z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