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sz w:val="24"/>
                <w:szCs w:val="24"/>
              </w:rPr>
            </w:pPr>
            <w:r>
              <w:rPr>
                <w:rFonts w:hint="eastAsia"/>
                <w:sz w:val="24"/>
                <w:szCs w:val="24"/>
              </w:rPr>
              <w:t>受审核部门：</w:t>
            </w:r>
            <w:r>
              <w:rPr>
                <w:rFonts w:hint="eastAsia"/>
                <w:sz w:val="24"/>
                <w:szCs w:val="24"/>
                <w:lang w:val="en-US" w:eastAsia="zh-CN"/>
              </w:rPr>
              <w:t>综合部；</w:t>
            </w:r>
            <w:r>
              <w:rPr>
                <w:rFonts w:hint="eastAsia"/>
                <w:sz w:val="24"/>
                <w:szCs w:val="24"/>
              </w:rPr>
              <w:t>主管领导</w:t>
            </w:r>
            <w:r>
              <w:rPr>
                <w:rFonts w:hint="eastAsia"/>
                <w:sz w:val="24"/>
                <w:szCs w:val="24"/>
                <w:lang w:val="en-US" w:eastAsia="zh-CN"/>
              </w:rPr>
              <w:t>/</w:t>
            </w:r>
            <w:r>
              <w:rPr>
                <w:rFonts w:hint="eastAsia"/>
                <w:sz w:val="24"/>
                <w:szCs w:val="24"/>
              </w:rPr>
              <w:t>陪同人员：高泉凯</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pPr>
            <w:r>
              <w:rPr>
                <w:rFonts w:hint="eastAsia"/>
                <w:sz w:val="24"/>
                <w:szCs w:val="24"/>
              </w:rPr>
              <w:t>审核员：</w:t>
            </w:r>
            <w:bookmarkStart w:id="0" w:name="审核组成员不含组长"/>
            <w:bookmarkEnd w:id="0"/>
            <w:r>
              <w:rPr>
                <w:rFonts w:hint="eastAsia"/>
                <w:sz w:val="24"/>
                <w:szCs w:val="24"/>
                <w:lang w:val="en-US" w:eastAsia="zh-CN"/>
              </w:rPr>
              <w:t>周文/远程；</w:t>
            </w:r>
            <w:bookmarkStart w:id="5" w:name="_GoBack"/>
            <w:bookmarkEnd w:id="5"/>
            <w:r>
              <w:rPr>
                <w:rFonts w:hint="eastAsia"/>
                <w:sz w:val="24"/>
                <w:szCs w:val="24"/>
              </w:rPr>
              <w:t>审核时间：</w:t>
            </w:r>
            <w:bookmarkStart w:id="1" w:name="审核日期"/>
            <w:r>
              <w:t xml:space="preserve">2022年04月25日 </w:t>
            </w:r>
            <w:bookmarkEnd w:id="1"/>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line="240" w:lineRule="auto"/>
              <w:rPr>
                <w:rFonts w:hint="eastAsia"/>
                <w:sz w:val="24"/>
                <w:szCs w:val="24"/>
              </w:rPr>
            </w:pPr>
            <w:r>
              <w:rPr>
                <w:rFonts w:hint="eastAsia"/>
                <w:sz w:val="24"/>
                <w:szCs w:val="24"/>
              </w:rPr>
              <w:t>审核条款：</w:t>
            </w:r>
          </w:p>
          <w:p>
            <w:pPr>
              <w:numPr>
                <w:ilvl w:val="0"/>
                <w:numId w:val="1"/>
              </w:numPr>
              <w:tabs>
                <w:tab w:val="left" w:pos="709"/>
              </w:tabs>
              <w:spacing w:line="240" w:lineRule="auto"/>
              <w:ind w:right="57"/>
              <w:rPr>
                <w:rFonts w:hint="eastAsia"/>
                <w:sz w:val="21"/>
                <w:szCs w:val="21"/>
              </w:rPr>
            </w:pPr>
            <w:r>
              <w:rPr>
                <w:sz w:val="21"/>
                <w:szCs w:val="21"/>
              </w:rPr>
              <w:t>部门</w:t>
            </w:r>
            <w:r>
              <w:rPr>
                <w:rFonts w:hint="eastAsia"/>
                <w:sz w:val="21"/>
                <w:szCs w:val="21"/>
              </w:rPr>
              <w:t>ES管理体系综合策划过程</w:t>
            </w:r>
            <w:r>
              <w:rPr>
                <w:rFonts w:hint="eastAsia"/>
                <w:sz w:val="21"/>
                <w:szCs w:val="21"/>
                <w:lang w:val="en-US" w:eastAsia="zh-CN"/>
              </w:rPr>
              <w:t>的适宜性；</w:t>
            </w:r>
          </w:p>
          <w:p>
            <w:pPr>
              <w:numPr>
                <w:ilvl w:val="0"/>
                <w:numId w:val="0"/>
              </w:numPr>
              <w:tabs>
                <w:tab w:val="left" w:pos="709"/>
              </w:tabs>
              <w:spacing w:line="240" w:lineRule="auto"/>
              <w:ind w:right="57" w:rightChars="0"/>
              <w:rPr>
                <w:rFonts w:hint="default" w:eastAsia="宋体"/>
                <w:sz w:val="21"/>
                <w:szCs w:val="21"/>
                <w:lang w:val="en-US" w:eastAsia="zh-CN"/>
              </w:rPr>
            </w:pPr>
            <w:r>
              <w:rPr>
                <w:rFonts w:hint="eastAsia"/>
                <w:sz w:val="21"/>
                <w:szCs w:val="21"/>
                <w:lang w:val="en-US" w:eastAsia="zh-CN"/>
              </w:rPr>
              <w:t>*部门职责分配、公司及部门目标管理的有效性；（ES5.3、6.2）</w:t>
            </w:r>
          </w:p>
          <w:p>
            <w:pPr>
              <w:numPr>
                <w:ilvl w:val="0"/>
                <w:numId w:val="0"/>
              </w:numPr>
              <w:tabs>
                <w:tab w:val="left" w:pos="709"/>
              </w:tabs>
              <w:spacing w:line="240" w:lineRule="auto"/>
              <w:ind w:right="57" w:rightChars="0"/>
              <w:rPr>
                <w:rFonts w:hint="default" w:eastAsia="宋体"/>
                <w:sz w:val="21"/>
                <w:szCs w:val="21"/>
                <w:lang w:val="en-US" w:eastAsia="zh-CN"/>
              </w:rPr>
            </w:pPr>
            <w:r>
              <w:rPr>
                <w:rFonts w:hint="eastAsia"/>
                <w:sz w:val="21"/>
                <w:szCs w:val="21"/>
                <w:lang w:val="en-US" w:eastAsia="zh-CN"/>
              </w:rPr>
              <w:t>*公司及部门</w:t>
            </w:r>
            <w:r>
              <w:rPr>
                <w:sz w:val="21"/>
                <w:szCs w:val="21"/>
              </w:rPr>
              <w:t>业务过程风险确定及</w:t>
            </w:r>
            <w:r>
              <w:rPr>
                <w:rFonts w:hint="eastAsia"/>
                <w:sz w:val="21"/>
                <w:szCs w:val="21"/>
                <w:lang w:val="en-US" w:eastAsia="zh-CN"/>
              </w:rPr>
              <w:t>控制</w:t>
            </w:r>
            <w:r>
              <w:rPr>
                <w:sz w:val="21"/>
                <w:szCs w:val="21"/>
              </w:rPr>
              <w:t>策划，包括</w:t>
            </w:r>
            <w:r>
              <w:rPr>
                <w:rFonts w:hint="eastAsia"/>
                <w:sz w:val="21"/>
                <w:szCs w:val="21"/>
                <w:lang w:val="en-US" w:eastAsia="zh-CN"/>
              </w:rPr>
              <w:t>环境因素、危险源和职业健康安全风险和机遇识别与评价的有效性及适用的合规义务的符合性</w:t>
            </w:r>
            <w:r>
              <w:rPr>
                <w:rFonts w:hint="eastAsia"/>
                <w:sz w:val="21"/>
                <w:szCs w:val="21"/>
                <w:lang w:eastAsia="zh-CN"/>
              </w:rPr>
              <w:t>；</w:t>
            </w:r>
            <w:r>
              <w:rPr>
                <w:rFonts w:hint="eastAsia"/>
                <w:sz w:val="21"/>
                <w:szCs w:val="21"/>
                <w:lang w:val="en-US" w:eastAsia="zh-CN"/>
              </w:rPr>
              <w:t>(ES6.1.2、6.1.3、6.1.4）</w:t>
            </w:r>
          </w:p>
          <w:p>
            <w:pPr>
              <w:pStyle w:val="14"/>
              <w:tabs>
                <w:tab w:val="left" w:pos="709"/>
              </w:tabs>
              <w:spacing w:line="240" w:lineRule="auto"/>
              <w:ind w:right="57"/>
              <w:rPr>
                <w:rFonts w:hint="default"/>
                <w:bCs w:val="0"/>
                <w:spacing w:val="0"/>
                <w:sz w:val="21"/>
                <w:szCs w:val="21"/>
                <w:lang w:val="en-US" w:eastAsia="zh-CN"/>
              </w:rPr>
            </w:pPr>
            <w:r>
              <w:rPr>
                <w:rFonts w:hint="eastAsia"/>
                <w:bCs w:val="0"/>
                <w:spacing w:val="0"/>
                <w:sz w:val="21"/>
                <w:szCs w:val="21"/>
                <w:lang w:val="en-US" w:eastAsia="zh-CN"/>
              </w:rPr>
              <w:t>2、人力资源支持过程的有效性；</w:t>
            </w:r>
            <w:r>
              <w:rPr>
                <w:rFonts w:hint="eastAsia"/>
                <w:sz w:val="21"/>
                <w:szCs w:val="21"/>
                <w:lang w:val="en-US" w:eastAsia="zh-CN"/>
              </w:rPr>
              <w:t>上次审核不符合7.3条款验证；</w:t>
            </w:r>
            <w:r>
              <w:rPr>
                <w:rFonts w:hint="eastAsia"/>
                <w:bCs w:val="0"/>
                <w:spacing w:val="0"/>
                <w:sz w:val="21"/>
                <w:szCs w:val="21"/>
                <w:lang w:val="en-US" w:eastAsia="zh-CN"/>
              </w:rPr>
              <w:t>（ES7.2)</w:t>
            </w:r>
          </w:p>
          <w:p>
            <w:pPr>
              <w:pStyle w:val="14"/>
              <w:tabs>
                <w:tab w:val="left" w:pos="709"/>
              </w:tabs>
              <w:spacing w:line="240" w:lineRule="auto"/>
              <w:ind w:right="57"/>
              <w:rPr>
                <w:rFonts w:hint="default" w:eastAsia="宋体"/>
                <w:bCs w:val="0"/>
                <w:spacing w:val="0"/>
                <w:sz w:val="21"/>
                <w:szCs w:val="21"/>
                <w:lang w:val="en-US" w:eastAsia="zh-CN"/>
              </w:rPr>
            </w:pPr>
            <w:r>
              <w:rPr>
                <w:bCs w:val="0"/>
                <w:spacing w:val="0"/>
                <w:sz w:val="21"/>
                <w:szCs w:val="21"/>
              </w:rPr>
              <w:t>3</w:t>
            </w:r>
            <w:r>
              <w:rPr>
                <w:rFonts w:hint="eastAsia"/>
                <w:bCs w:val="0"/>
                <w:spacing w:val="0"/>
                <w:sz w:val="21"/>
                <w:szCs w:val="21"/>
              </w:rPr>
              <w:t>、</w:t>
            </w:r>
            <w:r>
              <w:rPr>
                <w:bCs w:val="0"/>
                <w:spacing w:val="0"/>
                <w:sz w:val="21"/>
                <w:szCs w:val="21"/>
              </w:rPr>
              <w:t>结合部门业务过程活动，关注其环境因素、危险源辨识</w:t>
            </w:r>
            <w:r>
              <w:rPr>
                <w:rFonts w:hint="eastAsia"/>
                <w:bCs w:val="0"/>
                <w:spacing w:val="0"/>
                <w:sz w:val="21"/>
                <w:szCs w:val="21"/>
                <w:lang w:val="en-US" w:eastAsia="zh-CN"/>
              </w:rPr>
              <w:t>和职业健康安全风险和机遇</w:t>
            </w:r>
            <w:r>
              <w:rPr>
                <w:bCs w:val="0"/>
                <w:spacing w:val="0"/>
                <w:sz w:val="21"/>
                <w:szCs w:val="21"/>
              </w:rPr>
              <w:t>运行控制的有效性与应急响应控制</w:t>
            </w:r>
            <w:r>
              <w:rPr>
                <w:rFonts w:hint="eastAsia"/>
                <w:bCs w:val="0"/>
                <w:spacing w:val="0"/>
                <w:sz w:val="21"/>
                <w:szCs w:val="21"/>
                <w:lang w:eastAsia="zh-CN"/>
              </w:rPr>
              <w:t>；（</w:t>
            </w:r>
            <w:r>
              <w:rPr>
                <w:rFonts w:hint="eastAsia"/>
                <w:bCs w:val="0"/>
                <w:spacing w:val="0"/>
                <w:sz w:val="21"/>
                <w:szCs w:val="21"/>
                <w:lang w:val="en-US" w:eastAsia="zh-CN"/>
              </w:rPr>
              <w:t>ES8.1、8.2）</w:t>
            </w:r>
          </w:p>
          <w:p>
            <w:pPr>
              <w:pStyle w:val="14"/>
              <w:tabs>
                <w:tab w:val="left" w:pos="709"/>
              </w:tabs>
              <w:spacing w:line="240" w:lineRule="auto"/>
              <w:ind w:right="57"/>
              <w:rPr>
                <w:bCs w:val="0"/>
                <w:spacing w:val="0"/>
                <w:sz w:val="21"/>
                <w:szCs w:val="21"/>
              </w:rPr>
            </w:pPr>
            <w:r>
              <w:rPr>
                <w:rFonts w:hint="eastAsia"/>
                <w:bCs w:val="0"/>
                <w:spacing w:val="0"/>
                <w:sz w:val="21"/>
                <w:szCs w:val="21"/>
              </w:rPr>
              <w:t>4、</w:t>
            </w:r>
            <w:r>
              <w:rPr>
                <w:bCs w:val="0"/>
                <w:spacing w:val="0"/>
                <w:sz w:val="21"/>
                <w:szCs w:val="21"/>
              </w:rPr>
              <w:t>管理体系绩效</w:t>
            </w:r>
            <w:r>
              <w:rPr>
                <w:rFonts w:hint="eastAsia"/>
                <w:bCs w:val="0"/>
                <w:spacing w:val="0"/>
                <w:sz w:val="21"/>
                <w:szCs w:val="21"/>
                <w:lang w:val="en-US" w:eastAsia="zh-CN"/>
              </w:rPr>
              <w:t>评价</w:t>
            </w:r>
            <w:r>
              <w:rPr>
                <w:bCs w:val="0"/>
                <w:spacing w:val="0"/>
                <w:sz w:val="21"/>
                <w:szCs w:val="21"/>
              </w:rPr>
              <w:t>及改进</w:t>
            </w:r>
            <w:r>
              <w:rPr>
                <w:rFonts w:hint="eastAsia"/>
                <w:bCs w:val="0"/>
                <w:spacing w:val="0"/>
                <w:sz w:val="21"/>
                <w:szCs w:val="21"/>
                <w:lang w:val="en-US" w:eastAsia="zh-CN"/>
              </w:rPr>
              <w:t>过程</w:t>
            </w:r>
            <w:r>
              <w:rPr>
                <w:bCs w:val="0"/>
                <w:spacing w:val="0"/>
                <w:sz w:val="21"/>
                <w:szCs w:val="21"/>
              </w:rPr>
              <w:t>运行的有效性</w:t>
            </w:r>
          </w:p>
          <w:p>
            <w:pPr>
              <w:tabs>
                <w:tab w:val="left" w:pos="709"/>
              </w:tabs>
              <w:spacing w:line="240" w:lineRule="auto"/>
              <w:ind w:right="57"/>
              <w:rPr>
                <w:rFonts w:hint="eastAsia"/>
                <w:sz w:val="21"/>
                <w:szCs w:val="21"/>
                <w:lang w:val="en-US" w:eastAsia="zh-CN"/>
              </w:rPr>
            </w:pPr>
            <w:r>
              <w:rPr>
                <w:bCs w:val="0"/>
                <w:spacing w:val="0"/>
                <w:sz w:val="21"/>
                <w:szCs w:val="21"/>
              </w:rPr>
              <w:t>*管理体系的预期结果实现情况</w:t>
            </w:r>
            <w:r>
              <w:rPr>
                <w:rFonts w:hint="eastAsia"/>
                <w:sz w:val="21"/>
                <w:szCs w:val="21"/>
                <w:lang w:eastAsia="zh-CN"/>
              </w:rPr>
              <w:t>；必要的环境和职业健康安全监测和检查(包括但不仅限于内外部实施的环保监测、职业危害监测、职业健康体检、安全、消防检查等)；</w:t>
            </w:r>
            <w:r>
              <w:rPr>
                <w:rFonts w:hint="eastAsia"/>
                <w:sz w:val="21"/>
                <w:szCs w:val="21"/>
                <w:lang w:val="en-US" w:eastAsia="zh-CN"/>
              </w:rPr>
              <w:t>(ES9.1.1)</w:t>
            </w:r>
          </w:p>
          <w:p>
            <w:pPr>
              <w:pStyle w:val="14"/>
              <w:spacing w:line="240" w:lineRule="auto"/>
              <w:rPr>
                <w:rFonts w:hint="eastAsia"/>
                <w:sz w:val="21"/>
                <w:szCs w:val="21"/>
                <w:lang w:val="en-US" w:eastAsia="zh-CN"/>
              </w:rPr>
            </w:pPr>
            <w:r>
              <w:rPr>
                <w:rFonts w:hint="eastAsia"/>
                <w:sz w:val="21"/>
                <w:szCs w:val="21"/>
                <w:lang w:val="en-US" w:eastAsia="zh-CN"/>
              </w:rPr>
              <w:t>*合规性评价过程的有效性；（ES9.1.2）</w:t>
            </w:r>
          </w:p>
          <w:p>
            <w:pPr>
              <w:pStyle w:val="14"/>
              <w:spacing w:line="240" w:lineRule="auto"/>
              <w:rPr>
                <w:rFonts w:hint="eastAsia"/>
                <w:sz w:val="21"/>
                <w:szCs w:val="21"/>
                <w:lang w:val="en-US" w:eastAsia="zh-CN"/>
              </w:rPr>
            </w:pPr>
            <w:r>
              <w:rPr>
                <w:bCs w:val="0"/>
                <w:spacing w:val="0"/>
                <w:sz w:val="21"/>
                <w:szCs w:val="21"/>
              </w:rPr>
              <w:t>*</w:t>
            </w:r>
            <w:r>
              <w:rPr>
                <w:rFonts w:hint="eastAsia"/>
                <w:bCs w:val="0"/>
                <w:spacing w:val="0"/>
                <w:sz w:val="21"/>
                <w:szCs w:val="21"/>
              </w:rPr>
              <w:t>内</w:t>
            </w:r>
            <w:r>
              <w:rPr>
                <w:bCs w:val="0"/>
                <w:spacing w:val="0"/>
                <w:sz w:val="21"/>
                <w:szCs w:val="21"/>
              </w:rPr>
              <w:t>审的实施及作用</w:t>
            </w:r>
            <w:r>
              <w:rPr>
                <w:rFonts w:hint="eastAsia"/>
                <w:bCs w:val="0"/>
                <w:spacing w:val="0"/>
                <w:sz w:val="21"/>
                <w:szCs w:val="21"/>
                <w:lang w:eastAsia="zh-CN"/>
              </w:rPr>
              <w:t>；</w:t>
            </w:r>
            <w:r>
              <w:rPr>
                <w:rFonts w:hint="eastAsia"/>
                <w:bCs w:val="0"/>
                <w:spacing w:val="0"/>
                <w:sz w:val="21"/>
                <w:szCs w:val="21"/>
                <w:lang w:val="en-US" w:eastAsia="zh-CN"/>
              </w:rPr>
              <w:t>(ES9.2)</w:t>
            </w:r>
          </w:p>
          <w:p>
            <w:pPr>
              <w:spacing w:line="240" w:lineRule="auto"/>
              <w:rPr>
                <w:rFonts w:hint="eastAsia"/>
                <w:sz w:val="24"/>
                <w:szCs w:val="24"/>
              </w:rPr>
            </w:pPr>
            <w:r>
              <w:rPr>
                <w:rFonts w:hint="default"/>
                <w:sz w:val="21"/>
                <w:szCs w:val="21"/>
                <w:lang w:val="en-US" w:eastAsia="zh-CN"/>
              </w:rPr>
              <w:t>*</w:t>
            </w:r>
            <w:r>
              <w:rPr>
                <w:rFonts w:hint="eastAsia"/>
                <w:sz w:val="21"/>
                <w:szCs w:val="21"/>
                <w:lang w:val="en-US" w:eastAsia="zh-CN"/>
              </w:rPr>
              <w:t>内审不符合的整改、管理评审输出的落实情况。；（ES10.2)</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40" w:lineRule="auto"/>
              <w:rPr>
                <w:rFonts w:hint="default"/>
                <w:lang w:val="en-US"/>
              </w:rPr>
            </w:pPr>
            <w:r>
              <w:rPr>
                <w:rFonts w:hint="eastAsia"/>
                <w:sz w:val="21"/>
                <w:szCs w:val="21"/>
                <w:lang w:val="en-US" w:eastAsia="zh-CN"/>
              </w:rPr>
              <w:t>部门职责、目标</w:t>
            </w:r>
          </w:p>
        </w:tc>
        <w:tc>
          <w:tcPr>
            <w:tcW w:w="960" w:type="dxa"/>
          </w:tcPr>
          <w:p>
            <w:pPr>
              <w:spacing w:line="240" w:lineRule="auto"/>
            </w:pPr>
            <w:r>
              <w:rPr>
                <w:rFonts w:hint="eastAsia"/>
                <w:sz w:val="21"/>
                <w:szCs w:val="21"/>
                <w:lang w:val="en-US" w:eastAsia="zh-CN"/>
              </w:rPr>
              <w:t>ES5.3、6.</w:t>
            </w:r>
          </w:p>
        </w:tc>
        <w:tc>
          <w:tcPr>
            <w:tcW w:w="10004" w:type="dxa"/>
          </w:tcPr>
          <w:p>
            <w:pPr>
              <w:spacing w:line="240" w:lineRule="auto"/>
              <w:jc w:val="left"/>
              <w:rPr>
                <w:rFonts w:hint="eastAsia"/>
              </w:rPr>
            </w:pPr>
            <w:r>
              <w:rPr>
                <w:rFonts w:hint="eastAsia"/>
                <w:lang w:val="en-US" w:eastAsia="zh-CN"/>
              </w:rPr>
              <w:t>---</w:t>
            </w:r>
            <w:r>
              <w:rPr>
                <w:rFonts w:hint="eastAsia"/>
              </w:rPr>
              <w:t>部门负责</w:t>
            </w:r>
            <w:r>
              <w:rPr>
                <w:rFonts w:hint="eastAsia"/>
                <w:lang w:val="en-US" w:eastAsia="zh-CN"/>
              </w:rPr>
              <w:t>人高泉凯介</w:t>
            </w:r>
            <w:r>
              <w:rPr>
                <w:rFonts w:hint="eastAsia"/>
              </w:rPr>
              <w:t>绍,本部门主要负责以下工作内容：</w:t>
            </w:r>
          </w:p>
          <w:p>
            <w:pPr>
              <w:spacing w:line="240" w:lineRule="auto"/>
              <w:jc w:val="left"/>
              <w:rPr>
                <w:rFonts w:hint="eastAsia"/>
                <w:lang w:val="en-US" w:eastAsia="zh-CN"/>
              </w:rPr>
            </w:pPr>
            <w:r>
              <w:rPr>
                <w:rFonts w:hint="eastAsia"/>
                <w:lang w:val="en-US" w:eastAsia="zh-CN"/>
              </w:rPr>
              <w:t>a)负责文件、记录的控制、管理；</w:t>
            </w:r>
          </w:p>
          <w:p>
            <w:pPr>
              <w:spacing w:line="240" w:lineRule="auto"/>
              <w:jc w:val="left"/>
              <w:rPr>
                <w:rFonts w:hint="eastAsia"/>
                <w:lang w:val="en-US" w:eastAsia="zh-CN"/>
              </w:rPr>
            </w:pPr>
            <w:r>
              <w:rPr>
                <w:rFonts w:hint="eastAsia"/>
                <w:lang w:val="en-US" w:eastAsia="zh-CN"/>
              </w:rPr>
              <w:t>b)负责进行员工岗位能力考核、制定并实施公司培训计划及有效性评价；</w:t>
            </w:r>
          </w:p>
          <w:p>
            <w:pPr>
              <w:spacing w:line="240" w:lineRule="auto"/>
              <w:jc w:val="left"/>
              <w:rPr>
                <w:rFonts w:hint="eastAsia"/>
                <w:lang w:val="en-US" w:eastAsia="zh-CN"/>
              </w:rPr>
            </w:pPr>
            <w:r>
              <w:rPr>
                <w:rFonts w:hint="eastAsia"/>
                <w:lang w:val="en-US" w:eastAsia="zh-CN"/>
              </w:rPr>
              <w:t>c)负责组织进行与与顾客的沟通；</w:t>
            </w:r>
          </w:p>
          <w:p>
            <w:pPr>
              <w:spacing w:line="240" w:lineRule="auto"/>
              <w:rPr>
                <w:rFonts w:hint="default"/>
                <w:lang w:val="en-US" w:eastAsia="zh-CN"/>
              </w:rPr>
            </w:pPr>
            <w:r>
              <w:rPr>
                <w:rFonts w:hint="eastAsia"/>
                <w:lang w:val="en-US" w:eastAsia="zh-CN"/>
              </w:rPr>
              <w:t>......等</w:t>
            </w:r>
          </w:p>
          <w:p>
            <w:pPr>
              <w:spacing w:line="240" w:lineRule="auto"/>
              <w:jc w:val="left"/>
              <w:rPr>
                <w:rFonts w:hint="eastAsia" w:ascii="Times New Roman" w:hAnsi="Times New Roman" w:eastAsia="宋体" w:cs="Times New Roman"/>
                <w:lang w:val="en-US" w:eastAsia="zh-CN"/>
              </w:rPr>
            </w:pPr>
            <w:r>
              <w:rPr>
                <w:rFonts w:hint="eastAsia"/>
                <w:lang w:eastAsia="zh-CN"/>
              </w:rPr>
              <w:t>——</w:t>
            </w:r>
            <w:r>
              <w:rPr>
                <w:rFonts w:hint="eastAsia"/>
              </w:rPr>
              <w:t>跟踪核查其</w:t>
            </w:r>
            <w:r>
              <w:rPr>
                <w:rFonts w:hint="eastAsia"/>
                <w:lang w:eastAsia="zh-CN"/>
              </w:rPr>
              <w:t>“</w:t>
            </w:r>
            <w:r>
              <w:rPr>
                <w:rFonts w:hint="eastAsia"/>
                <w:lang w:val="en-US" w:eastAsia="zh-CN"/>
              </w:rPr>
              <w:t>管理手册”5.3 组织的角色、职责和权限、D.综合部的</w:t>
            </w:r>
            <w:r>
              <w:rPr>
                <w:rFonts w:hint="eastAsia"/>
              </w:rPr>
              <w:t>内容，其部门负责人表述与文件规</w:t>
            </w:r>
            <w:r>
              <w:rPr>
                <w:rFonts w:hint="eastAsia" w:ascii="Times New Roman" w:hAnsi="Times New Roman" w:eastAsia="宋体" w:cs="Times New Roman"/>
                <w:lang w:val="en-US" w:eastAsia="zh-CN"/>
              </w:rPr>
              <w:t>定基本一致。</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——岗位、职责和权限明确。</w:t>
            </w:r>
          </w:p>
          <w:p>
            <w:pPr>
              <w:spacing w:line="240" w:lineRule="auto"/>
              <w:jc w:val="left"/>
              <w:rPr>
                <w:rFonts w:hint="eastAsia" w:ascii="Times New Roman" w:hAnsi="Times New Roman" w:eastAsia="宋体" w:cs="Times New Roman"/>
                <w:lang w:val="en-US" w:eastAsia="zh-CN"/>
              </w:rPr>
            </w:pP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---本部门执行主控部门策划的“环境管理方案”，“职业健康安全管理方案”；对目标的制订准则，考核方法、频率、责任部门等做出了规定；编审批日期齐全。</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---查“目标达成统计表”最</w:t>
            </w:r>
            <w:bookmarkStart w:id="2" w:name="OLE_LINK2"/>
            <w:r>
              <w:rPr>
                <w:rFonts w:hint="eastAsia" w:ascii="Times New Roman" w:hAnsi="Times New Roman" w:eastAsia="宋体" w:cs="Times New Roman"/>
                <w:lang w:val="en-US" w:eastAsia="zh-CN"/>
              </w:rPr>
              <w:t>后统计日期：2022.3.31.；考核频率：月；内容显示：ES目标建立以来未曾变更；2021年5月-2022年3月公司及部门分解目标均已达成。具体如下：</w:t>
            </w:r>
          </w:p>
          <w:bookmarkEnd w:id="2"/>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部门</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目标内容</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目标值</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5月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6月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7月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8月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9月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11月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12月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2月</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3月</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固体废弃物分类管理，处置率100%；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杜绝火灾事故。</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触电事故为0次/年;</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火灾事故为0次/年；</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交通意外事故为0次/年。</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综合部</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固体废弃物分类管理，处置率100%；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100%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杜绝火灾事故。</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触电事故为0次/年;</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火灾事故为0次/年；</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交通意外事故为0次/年。</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0</w:t>
            </w:r>
          </w:p>
          <w:p>
            <w:pPr>
              <w:spacing w:line="240" w:lineRule="auto"/>
              <w:jc w:val="left"/>
              <w:rPr>
                <w:rFonts w:hint="eastAsia" w:ascii="Times New Roman" w:hAnsi="Times New Roman" w:eastAsia="宋体" w:cs="Times New Roman"/>
                <w:lang w:val="en-US" w:eastAsia="zh-CN"/>
              </w:rPr>
            </w:pP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---查“环境管理方案”，2021.11.2.包括对固废处理、火灾等环境风险金进行管控，分析了现状、策划了目标指标及管理措施，落实到部门、责任人及控制时间。抽查</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固体弃物治理：</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目标：废弃物：办公区设分类垃圾箱,垃圾分类</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措施：</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制定固体弃物处理措施</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选择合理存放固体弃物位置</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联系固体弃物回收公司及时回收</w:t>
            </w:r>
          </w:p>
          <w:p>
            <w:pPr>
              <w:spacing w:line="240" w:lineRule="auto"/>
              <w:jc w:val="left"/>
              <w:rPr>
                <w:rFonts w:hint="default" w:ascii="Times New Roman" w:hAnsi="Times New Roman" w:eastAsia="宋体" w:cs="Times New Roman"/>
                <w:lang w:val="en-US" w:eastAsia="zh-CN"/>
              </w:rPr>
            </w:pP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---查“职业健康安全管理方案”，2021.11.2.；包括对火灾、新冠疫情等安全风险金进行管控，分析了现状、策划了目标指标及管理措施，落实到部门、责任人及控制时间。抽查</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疫情防控</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指标：员工感染新冠病毒为0；</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措施：</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1员工上班、外来人员进入需佩戴口罩，测量体温，登记信息</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 定期对公司进行消毒</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 注意卫生，勤洗手，保持工作区域整洁</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 人员不密集、不聚餐，采取网络会议的型式</w:t>
            </w:r>
          </w:p>
          <w:p>
            <w:pPr>
              <w:spacing w:line="240" w:lineRule="auto"/>
              <w:jc w:val="left"/>
              <w:rPr>
                <w:rFonts w:hint="eastAsia" w:ascii="Times New Roman" w:hAnsi="Times New Roman" w:eastAsia="宋体" w:cs="Times New Roman"/>
                <w:lang w:val="en-US" w:eastAsia="zh-CN"/>
              </w:rPr>
            </w:pP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——公司及部门目标管理符合要求。</w:t>
            </w:r>
          </w:p>
          <w:p>
            <w:pPr>
              <w:pStyle w:val="7"/>
              <w:spacing w:line="240" w:lineRule="auto"/>
              <w:jc w:val="both"/>
            </w:pP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default"/>
                <w:lang w:val="en-US"/>
              </w:rPr>
            </w:pPr>
            <w:r>
              <w:rPr>
                <w:rFonts w:hint="eastAsia"/>
                <w:sz w:val="21"/>
                <w:szCs w:val="21"/>
                <w:lang w:val="en-US" w:eastAsia="zh-CN"/>
              </w:rPr>
              <w:t>环境因素、危险源和职业健康安全风险和机遇识别与评价及控制措施</w:t>
            </w:r>
          </w:p>
        </w:tc>
        <w:tc>
          <w:tcPr>
            <w:tcW w:w="960" w:type="dxa"/>
          </w:tcPr>
          <w:p>
            <w:pPr>
              <w:spacing w:line="240" w:lineRule="auto"/>
              <w:rPr>
                <w:rFonts w:hint="default"/>
                <w:lang w:val="en-US"/>
              </w:rPr>
            </w:pPr>
            <w:r>
              <w:rPr>
                <w:rFonts w:hint="eastAsia"/>
                <w:sz w:val="21"/>
                <w:szCs w:val="21"/>
                <w:lang w:val="en-US" w:eastAsia="zh-CN"/>
              </w:rPr>
              <w:t>ES6.1.26.1.4、</w:t>
            </w:r>
          </w:p>
        </w:tc>
        <w:tc>
          <w:tcPr>
            <w:tcW w:w="10004" w:type="dxa"/>
          </w:tcPr>
          <w:p>
            <w:pPr>
              <w:spacing w:line="24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负责人介绍，公司策划了《环境因素识别与评价控制程序》、《危险源辨识与风险评价控制程序》、</w:t>
            </w:r>
            <w:r>
              <w:rPr>
                <w:rFonts w:hint="eastAsia" w:ascii="宋体"/>
                <w:kern w:val="0"/>
                <w:szCs w:val="21"/>
                <w:lang w:val="en-US" w:eastAsia="zh-CN"/>
              </w:rPr>
              <w:t>及</w:t>
            </w:r>
            <w:bookmarkStart w:id="3" w:name="OLE_LINK1"/>
            <w:r>
              <w:rPr>
                <w:rFonts w:hint="eastAsia" w:ascii="Times New Roman" w:hAnsi="Times New Roman" w:eastAsia="宋体" w:cs="Times New Roman"/>
                <w:lang w:val="en-US" w:eastAsia="zh-CN"/>
              </w:rPr>
              <w:t>“环境、安全管理方案”、“环境因素调查评价表 ”、“危险源辩识及风险评价表”等文件、记录</w:t>
            </w:r>
            <w:bookmarkEnd w:id="3"/>
            <w:r>
              <w:rPr>
                <w:rFonts w:hint="eastAsia" w:ascii="Times New Roman" w:hAnsi="Times New Roman" w:eastAsia="宋体" w:cs="Times New Roman"/>
                <w:lang w:val="en-US" w:eastAsia="zh-CN"/>
              </w:rPr>
              <w:t>对公司及部门的环境、安全风险进行控制，。</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环境因素识别与控制</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---查“环境因素调查评价表 ”2021.11.2.；识别有销售活动以及服务过程的环境因素、环境因素评价，环境因素包括能源资源消耗、污水排放、日光灯的废弃、生活垃圾排放、潜在火灾等</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---查“重要环境因素清单”，识别了与本部门相关的重要环境因素共2项，具体为：</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1、潜在火灾</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控制措施：运行控制、制定管理方案、应急预案；</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2、固体废弃物（含危废）</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控制措施：运行控制、制定管理方案；</w:t>
            </w:r>
          </w:p>
          <w:p>
            <w:pPr>
              <w:spacing w:line="240" w:lineRule="auto"/>
              <w:jc w:val="left"/>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问题点：潜在火灾是风险，火灾导致的废气、废弃物等污染物是重要环境因素；已与负责人口头沟通。</w:t>
            </w:r>
          </w:p>
          <w:p>
            <w:pPr>
              <w:spacing w:line="240" w:lineRule="auto"/>
              <w:jc w:val="left"/>
              <w:rPr>
                <w:rFonts w:hint="eastAsia" w:ascii="Times New Roman" w:hAnsi="Times New Roman" w:eastAsia="宋体" w:cs="Times New Roman"/>
                <w:lang w:val="en-US" w:eastAsia="zh-CN"/>
              </w:rPr>
            </w:pP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危险源及职业健康安全风险和职业健康安全管理体系的其他风险和机遇的识别与控制</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危险源辩识及风险评价表”2021.11.2.；识别与本部门有关的危险源和职业健康安全管理体系的其他风险具体有：不遵守交通法规,发生交通事故、电线裸露，导致触电、复印机辐射伤害、夏季高温外出进行销售活动导致中暑、遭遇抢劫，造成人员伤害等。</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---查“不可接受风险清单”清单，识别的主要危险源及职业健康安全风险：</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防护缺陷、违章等</w:t>
            </w:r>
            <w:r>
              <w:rPr>
                <w:rFonts w:hint="eastAsia" w:ascii="Times New Roman" w:hAnsi="Times New Roman" w:eastAsia="宋体" w:cs="Times New Roman"/>
                <w:lang w:val="en-US" w:eastAsia="zh-CN"/>
              </w:rPr>
              <w:t>导致</w:t>
            </w:r>
            <w:r>
              <w:rPr>
                <w:rFonts w:hint="default" w:ascii="Times New Roman" w:hAnsi="Times New Roman" w:eastAsia="宋体" w:cs="Times New Roman"/>
                <w:lang w:val="en-US" w:eastAsia="zh-CN"/>
              </w:rPr>
              <w:t>意外伤害</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2、夏季高温作业违章指挥、防护缺陷等导致中暑</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3、办公用电控制不当导致火灾</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4、突发疫情损害健康</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控制措施：</w:t>
            </w:r>
          </w:p>
          <w:p>
            <w:pPr>
              <w:spacing w:line="240" w:lineRule="auto"/>
              <w:jc w:val="left"/>
              <w:rPr>
                <w:rFonts w:hint="eastAsia" w:ascii="Times New Roman" w:hAnsi="Times New Roman" w:eastAsia="宋体" w:cs="Times New Roman"/>
                <w:lang w:val="en-US" w:eastAsia="zh-CN"/>
              </w:rPr>
            </w:pPr>
            <w:bookmarkStart w:id="4" w:name="OLE_LINK3"/>
            <w:r>
              <w:rPr>
                <w:rFonts w:hint="eastAsia" w:ascii="Times New Roman" w:hAnsi="Times New Roman" w:eastAsia="宋体" w:cs="Times New Roman"/>
                <w:lang w:val="en-US" w:eastAsia="zh-CN"/>
              </w:rPr>
              <w:t xml:space="preserve">a.制定管理方案;     </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b.制定管理程序;     </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c.制订应急预案;     </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d.制订作业指导文件;  </w:t>
            </w:r>
          </w:p>
          <w:bookmarkEnd w:id="4"/>
          <w:p>
            <w:pPr>
              <w:pStyle w:val="3"/>
              <w:spacing w:line="240" w:lineRule="auto"/>
              <w:rPr>
                <w:rFonts w:hint="eastAsia"/>
                <w:lang w:val="en-US" w:eastAsia="zh-CN"/>
              </w:rPr>
            </w:pPr>
          </w:p>
          <w:p>
            <w:pPr>
              <w:spacing w:line="240" w:lineRule="auto"/>
              <w:rPr>
                <w:rFonts w:hint="default" w:eastAsia="宋体"/>
                <w:lang w:val="en-US" w:eastAsia="zh-CN"/>
              </w:rPr>
            </w:pPr>
            <w:r>
              <w:rPr>
                <w:rFonts w:hint="eastAsia"/>
                <w:lang w:eastAsia="zh-CN"/>
              </w:rPr>
              <w:t>——</w:t>
            </w:r>
            <w:r>
              <w:rPr>
                <w:rFonts w:hint="eastAsia"/>
                <w:lang w:val="en-US" w:eastAsia="zh-CN"/>
              </w:rPr>
              <w:t>基本符合。</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eastAsia"/>
                <w:sz w:val="21"/>
                <w:szCs w:val="21"/>
                <w:lang w:val="en-US" w:eastAsia="zh-CN"/>
              </w:rPr>
            </w:pPr>
            <w:r>
              <w:rPr>
                <w:rFonts w:hint="eastAsia"/>
                <w:sz w:val="21"/>
                <w:szCs w:val="21"/>
                <w:lang w:val="en-US" w:eastAsia="zh-CN"/>
              </w:rPr>
              <w:t>合规义务（法律法规及其他要求）以及合规性评价</w:t>
            </w:r>
          </w:p>
        </w:tc>
        <w:tc>
          <w:tcPr>
            <w:tcW w:w="960" w:type="dxa"/>
          </w:tcPr>
          <w:p>
            <w:pPr>
              <w:spacing w:line="240" w:lineRule="auto"/>
              <w:rPr>
                <w:rFonts w:hint="default"/>
                <w:sz w:val="21"/>
                <w:szCs w:val="21"/>
                <w:lang w:val="en-US" w:eastAsia="zh-CN"/>
              </w:rPr>
            </w:pPr>
            <w:r>
              <w:rPr>
                <w:rFonts w:hint="eastAsia"/>
                <w:sz w:val="21"/>
                <w:szCs w:val="21"/>
                <w:lang w:val="en-US" w:eastAsia="zh-CN"/>
              </w:rPr>
              <w:t>ES6.1.3、9.1.2</w:t>
            </w:r>
          </w:p>
        </w:tc>
        <w:tc>
          <w:tcPr>
            <w:tcW w:w="10004" w:type="dxa"/>
          </w:tcPr>
          <w:p>
            <w:pPr>
              <w:spacing w:line="240" w:lineRule="auto"/>
              <w:jc w:val="left"/>
              <w:rPr>
                <w:rFonts w:hint="default" w:ascii="Times New Roman" w:hAnsi="Times New Roman" w:eastAsia="宋体" w:cs="Times New Roman"/>
                <w:lang w:val="en-US" w:eastAsia="zh-CN"/>
              </w:rPr>
            </w:pPr>
            <w:r>
              <w:rPr>
                <w:rFonts w:hint="eastAsia"/>
                <w:lang w:val="en-US" w:eastAsia="zh-CN"/>
              </w:rPr>
              <w:t>-</w:t>
            </w:r>
            <w:r>
              <w:rPr>
                <w:rFonts w:hint="eastAsia" w:ascii="Times New Roman" w:hAnsi="Times New Roman" w:eastAsia="宋体" w:cs="Times New Roman"/>
                <w:lang w:val="en-US" w:eastAsia="zh-CN"/>
              </w:rPr>
              <w:t>--策划</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查《法律法规和其他要求控制程序》及《合规性评价控制程序》，内容制定了目的、范围、作业程序等。内容较完整具有可操作性。</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---实施：</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获取方法：主要为网上、行业</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查“法律法规及其他要求清单”，按基本法、水污染类、消防类、资源类、废弃物类等收集法律法规、标准规范共30项，并进行了适用条款的识别及符合性评价。抽查：</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基本法</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中华人民共和国环境保护法</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2015.1.1</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2015.1.1</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全国人大第十一次会议</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1，2，3，4，5，6，36，38，41，46，53，69</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废水、固废等污染物排放</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符合</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中华人民共和国宪法(2018年五次修订)</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2018.3.11</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2018.3.11</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全国人大</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全文</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符合</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中华人民共和国刑法修正案（十）</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2017.11.4</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2017.11.4</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全国人大</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全文</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符合</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中华人民共和国环境影响评价法（修订）</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2016.7.2</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2018.12.9</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全国人大</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1,2,3,4,5，</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符合</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水污染类</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p>
          <w:p>
            <w:pPr>
              <w:numPr>
                <w:ilvl w:val="0"/>
                <w:numId w:val="2"/>
              </w:num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中华人民共和国水污染防治法（修订）</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 xml:space="preserve">                      2017.6.27日修订        2018.1.1</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2018/6/1</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全国人大常委会</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1,2,3,7,11,37,50,78,81,101</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污染物排放</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符合</w:t>
            </w:r>
          </w:p>
          <w:p>
            <w:pPr>
              <w:pStyle w:val="3"/>
              <w:spacing w:line="240" w:lineRule="auto"/>
              <w:rPr>
                <w:rFonts w:hint="eastAsia"/>
                <w:lang w:val="en-US" w:eastAsia="zh-CN"/>
              </w:rPr>
            </w:pPr>
          </w:p>
          <w:p>
            <w:pPr>
              <w:pStyle w:val="3"/>
              <w:numPr>
                <w:ilvl w:val="0"/>
                <w:numId w:val="0"/>
              </w:numPr>
              <w:spacing w:line="240" w:lineRule="auto"/>
              <w:rPr>
                <w:rFonts w:hint="default"/>
                <w:lang w:val="en-US" w:eastAsia="zh-CN"/>
              </w:rPr>
            </w:pPr>
            <w:r>
              <w:rPr>
                <w:rFonts w:hint="eastAsia"/>
                <w:lang w:val="en-US" w:eastAsia="zh-CN"/>
              </w:rPr>
              <w:t>——</w:t>
            </w:r>
            <w:r>
              <w:rPr>
                <w:rFonts w:hint="eastAsia"/>
              </w:rPr>
              <w:t>合规性评价</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查《法律法规合规性评价报告》，评价时间：2021年10月25日，评价结论：</w:t>
            </w:r>
          </w:p>
          <w:p>
            <w:pPr>
              <w:spacing w:line="240" w:lineRule="auto"/>
              <w:ind w:firstLine="420" w:firstLineChars="20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公司最高管理者率先高度重视环境、职业健康安全防护，并将其作为一项社会责任对待。本公司行政办公场所环境、职业健康安全工作良好。全公司没有室内抽烟、乱仍废物、资源浪费的现象，实现劳动和健康保护、能资源节约方面，人人都树立了环境、职业健康安全的意识。本次评价重要环境因素和重大危险源的相关控制情况符合相关法规要求，能够遵循相关法律法规要求。</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通过国家企业行用信息公示系统查询，未发现公司有违规处罚记录。</w:t>
            </w:r>
          </w:p>
          <w:p>
            <w:pPr>
              <w:spacing w:line="240" w:lineRule="auto"/>
              <w:jc w:val="left"/>
            </w:pPr>
            <w:r>
              <w:rPr>
                <w:rFonts w:hint="eastAsia" w:ascii="Times New Roman" w:hAnsi="Times New Roman" w:eastAsia="宋体" w:cs="Times New Roman"/>
                <w:lang w:val="en-US" w:eastAsia="zh-CN"/>
              </w:rPr>
              <w:t>——基本符合。</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2160" w:type="dxa"/>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能力</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上年度审核不符合验证ES7.3</w:t>
            </w:r>
          </w:p>
        </w:tc>
        <w:tc>
          <w:tcPr>
            <w:tcW w:w="960" w:type="dxa"/>
          </w:tcPr>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ES7.2、7.3</w:t>
            </w:r>
          </w:p>
        </w:tc>
        <w:tc>
          <w:tcPr>
            <w:tcW w:w="10004" w:type="dxa"/>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---策划</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查《人力资源控制程序》本部门为主控部门。</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---实施</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查“岗位职责”，包含总经理、经理、业务员等岗位人员的职责和入职要求。</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查特殊工种：负责人说明无。</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服务质量检查评定表”，评定内容包括顾客满意度、产品质量顾客验收合格率、顾客要求明确率、顾客要求评审率、合格供方物资提供率等共10项；抽查业务员：傅剑山、林丽玉、张宏锌等评价结果，均为合格。</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查“2022 年度培训计划”包含内审员培训、ISO标准和体系文件培训、风险和机遇的培训、员工疫情防控培训、员工急救培训等共8项。</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跟踪抽查相应的培训记录：</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1、2021.11.25.；内审员培训；参加培训人员：高泉凯、蔡志文、罗志豪 。</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2、2022.4.12.；新冠肺炎疫情疫情培训；参加培训人员：高泉凯、蔡志文、罗志豪 。</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3、2022.1.10.；风险和机遇的培训；参加培训人员：高泉凯、蔡志文、罗志豪 。</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——以上培训均有效果评价。</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上年度审核不符合验证：</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远程视频询问业务员傅剑山公司及部门的ES方针及目标，其回答基本正确。</w:t>
            </w:r>
          </w:p>
          <w:p>
            <w:pPr>
              <w:spacing w:line="240" w:lineRule="auto"/>
              <w:jc w:val="left"/>
              <w:rPr>
                <w:rFonts w:hint="eastAsia" w:ascii="Times New Roman" w:hAnsi="Times New Roman" w:eastAsia="宋体" w:cs="Times New Roman"/>
                <w:lang w:val="en-US" w:eastAsia="zh-CN"/>
              </w:rPr>
            </w:pP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——年度保持基本符合。</w:t>
            </w:r>
          </w:p>
        </w:tc>
        <w:tc>
          <w:tcPr>
            <w:tcW w:w="1585" w:type="dxa"/>
          </w:tcPr>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运行控制的有效性与应急响应控制</w:t>
            </w:r>
          </w:p>
        </w:tc>
        <w:tc>
          <w:tcPr>
            <w:tcW w:w="960" w:type="dxa"/>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ES8.1、8.2</w:t>
            </w:r>
          </w:p>
        </w:tc>
        <w:tc>
          <w:tcPr>
            <w:tcW w:w="10004" w:type="dxa"/>
          </w:tcPr>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---策划有《消防安全控制程序》、《固体废弃物控制程序》及“能源资源管理制度”、“消防安全管理制度”、“相关方施加影响管理制度”、“环境运行检查制度”、“安全教育制度等”。——本部门主控。</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---查“环境和安全运行检查记录表”，2022.4.20.，被检查部门/区域：办公室；频率每月；检查人：罗志豪； 审核：何清鑫 内容如下：</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846"/>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序号</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检查项目</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资源使用、能源消耗情况</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水、纸张、墨盒等没有发现浪费现象；用电没有发现浪费现象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废弃物的管理状况</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按规定进行分类处理（不可回收废弃物、可回收废弃物；危险废弃物）；废料、废品存放于指定地点放置并加盖。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相关方管理和投诉情况</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有对公司的相关方提出环境安全方面的要求（相关方告知书）；无相关方投诉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法律法规遵守情况，环境安全管理方案执行情况</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合规性较好能按计划执行；生活废水按要求排入下水管道；无工业废水；无工业废气；无噪声；有定期清理化粪池；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重大危险源管理</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进行重大危险源辩识，并有重大危险源分布图；按规定对重大危险源进行申报登记和信息变更；在重大危险源场所明显位置设置安全警示牌和周知牌；对重大危险源进行定期检查，发现隐患及时整改并建立检查台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环境安全应急准备情况</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应急预案；每年进行消防演习；定期培训、演练，并有记录；已进行消防演习提高员工的消防意识和应急能力；设应急救援资料箱（至少包括应急预案、重大危险源分布图等）；配备应急救援人员和必要的应急救援器材、设备；消防器材、设施配置充足到位；消防车通道、安全疏散通道、安全出口通畅；消防水源布局合理，供水通畅，水压充足；消防标志设置到位，完好、有效；应急照明设置到位，完好、有效；现场无违章、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车辆使用情况</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没有无证驾驶、酒后驾驶、疲劳驾驶等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使用电气设备、电气线路、安全设施</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定期检查用电安全，及时纠正问题；配电箱内外无杂物、配电箱门有关妥，无裸露空气开关或插头插座或临时不规范用电；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劳动安全防护安全教育情况</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有对员工进行了安全环保教育；逃生路线是否保持畅通；工作环境有及时整理、整顿、清扫、清洁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25"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w:t>
                  </w:r>
                </w:p>
              </w:tc>
              <w:tc>
                <w:tcPr>
                  <w:tcW w:w="2846"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有无意外伤害、触电、火灾事故</w:t>
                  </w:r>
                </w:p>
              </w:tc>
              <w:tc>
                <w:tcPr>
                  <w:tcW w:w="6168" w:type="dxa"/>
                  <w:noWrap w:val="0"/>
                  <w:vAlign w:val="center"/>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无</w:t>
                  </w:r>
                </w:p>
              </w:tc>
            </w:tr>
          </w:tbl>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另抽2022.2.20与2021.12.20.的“环境和安全运行检查记录表”，内容完整。</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---查</w:t>
            </w:r>
            <w:r>
              <w:rPr>
                <w:rFonts w:hint="eastAsia" w:eastAsia="宋体" w:cs="Times New Roman"/>
                <w:lang w:val="en-US" w:eastAsia="zh-CN"/>
              </w:rPr>
              <w:t>消防设备，提供有灭火器合格证、点检表及压力区正常照片。</w:t>
            </w:r>
          </w:p>
          <w:p>
            <w:pPr>
              <w:pStyle w:val="2"/>
              <w:spacing w:line="240" w:lineRule="auto"/>
            </w:pPr>
            <w:r>
              <w:drawing>
                <wp:inline distT="0" distB="0" distL="114300" distR="114300">
                  <wp:extent cx="5791200" cy="35509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91200" cy="3550920"/>
                          </a:xfrm>
                          <a:prstGeom prst="rect">
                            <a:avLst/>
                          </a:prstGeom>
                          <a:noFill/>
                          <a:ln>
                            <a:noFill/>
                          </a:ln>
                        </pic:spPr>
                      </pic:pic>
                    </a:graphicData>
                  </a:graphic>
                </wp:inline>
              </w:drawing>
            </w:r>
          </w:p>
          <w:p>
            <w:pPr>
              <w:spacing w:line="240" w:lineRule="auto"/>
              <w:jc w:val="left"/>
              <w:rPr>
                <w:rFonts w:hint="default"/>
                <w:lang w:val="en-US" w:eastAsia="zh-CN"/>
              </w:rPr>
            </w:pPr>
            <w:r>
              <w:rPr>
                <w:rFonts w:hint="eastAsia" w:ascii="Times New Roman" w:hAnsi="Times New Roman" w:eastAsia="宋体" w:cs="Times New Roman"/>
                <w:lang w:val="en-US" w:eastAsia="zh-CN"/>
              </w:rPr>
              <w:t>---</w:t>
            </w:r>
            <w:r>
              <w:rPr>
                <w:rFonts w:hint="eastAsia" w:cs="Times New Roman"/>
                <w:lang w:val="en-US" w:eastAsia="zh-CN"/>
              </w:rPr>
              <w:t>查</w:t>
            </w:r>
            <w:r>
              <w:rPr>
                <w:rFonts w:hint="eastAsia" w:ascii="Times New Roman" w:hAnsi="Times New Roman" w:eastAsia="宋体" w:cs="Times New Roman"/>
                <w:lang w:val="en-US" w:eastAsia="zh-CN"/>
              </w:rPr>
              <w:t>劳保、福利：负责人表述，公司劳保、福利主要体现在办公场所配置洗手液、绿植，为员工上社保、</w:t>
            </w:r>
            <w:r>
              <w:rPr>
                <w:rFonts w:hint="eastAsia" w:cs="Times New Roman"/>
                <w:lang w:val="en-US" w:eastAsia="zh-CN"/>
              </w:rPr>
              <w:t>培训技能、</w:t>
            </w:r>
            <w:r>
              <w:rPr>
                <w:rFonts w:hint="eastAsia" w:ascii="Times New Roman" w:hAnsi="Times New Roman" w:eastAsia="宋体" w:cs="Times New Roman"/>
                <w:lang w:val="en-US" w:eastAsia="zh-CN"/>
              </w:rPr>
              <w:t>发放降温费等。</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---查“环保安全费用提取和使用计划”2022.01-2022.12；具体为：</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火灾和爆炸预防</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消防设施</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2500</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火灾应急演练</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3000</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安全检查与整改</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2500</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环保培训费</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3000</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环境保护</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购买绿色植物</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2000</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垃圾清运</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8000</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体系认证</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质量、环境、职业健康安全管理体系认证费</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20000</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9</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资源消耗</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水电费</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12000</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合计</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53000</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---变更：负责人说明年度内无变更。</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远程查看，办公场所配备有空调、照明灯具、垃圾筐、消防箱两个，定置存放，压力及合格证有效。办公场所整洁，未发现固废随意排放情况，办公及生活垃圾按物业要求放置，未发现有违规用电、用火情况，未发现有明显的安全隐患，生活污水排入市政管网。</w:t>
            </w:r>
          </w:p>
          <w:p>
            <w:pPr>
              <w:spacing w:line="240" w:lineRule="auto"/>
              <w:jc w:val="left"/>
              <w:rPr>
                <w:rFonts w:hint="default" w:ascii="Times New Roman" w:hAnsi="Times New Roman" w:eastAsia="宋体" w:cs="Times New Roman"/>
                <w:lang w:val="en-US" w:eastAsia="zh-CN"/>
              </w:rPr>
            </w:pP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——应急响应控制</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---策划有“应急准备和响应控制程序”。本部门主控。</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---制订有“触电事故专项应急预案”、“火灾事故应急预案”及“疫情防控预案”。</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---查“灭火和应急疏散预案演练记录”2021.11.25.</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参加的部门及人员：综合部、销售部</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总结：</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通过应急演练，员工基本上掌握逃生技巧，对初期火灾的扑灭有一定了解，对会使用灭火器等应急设施，公司应急预案基本符合企业实际，暂不需要修改。</w:t>
            </w:r>
          </w:p>
          <w:p>
            <w:pPr>
              <w:spacing w:line="240" w:lineRule="auto"/>
              <w:jc w:val="left"/>
              <w:rPr>
                <w:rFonts w:hint="default" w:ascii="Times New Roman" w:hAnsi="Times New Roman" w:eastAsia="宋体" w:cs="Times New Roman"/>
                <w:lang w:val="en-US" w:eastAsia="zh-CN"/>
              </w:rPr>
            </w:pP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——控制基本符合要求。</w:t>
            </w:r>
          </w:p>
        </w:tc>
        <w:tc>
          <w:tcPr>
            <w:tcW w:w="1585" w:type="dxa"/>
          </w:tcPr>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内审</w:t>
            </w:r>
          </w:p>
        </w:tc>
        <w:tc>
          <w:tcPr>
            <w:tcW w:w="960" w:type="dxa"/>
          </w:tcPr>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ES9.2</w:t>
            </w:r>
          </w:p>
        </w:tc>
        <w:tc>
          <w:tcPr>
            <w:tcW w:w="10004" w:type="dxa"/>
          </w:tcPr>
          <w:p>
            <w:pPr>
              <w:spacing w:line="240" w:lineRule="auto"/>
              <w:jc w:val="left"/>
              <w:rPr>
                <w:rFonts w:hint="eastAsia" w:ascii="Times New Roman" w:hAnsi="Times New Roman" w:eastAsia="宋体" w:cs="Times New Roman"/>
                <w:lang w:val="en-US" w:eastAsia="zh-CN"/>
              </w:rPr>
            </w:pPr>
            <w:r>
              <w:rPr>
                <w:rFonts w:hint="eastAsia"/>
                <w:lang w:val="en-US" w:eastAsia="zh-CN"/>
              </w:rPr>
              <w:t>---策</w:t>
            </w:r>
            <w:r>
              <w:rPr>
                <w:rFonts w:hint="eastAsia" w:ascii="Times New Roman" w:hAnsi="Times New Roman" w:eastAsia="宋体" w:cs="Times New Roman"/>
                <w:lang w:val="en-US" w:eastAsia="zh-CN"/>
              </w:rPr>
              <w:t>划：制订了《内部审核控制程序》。</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---实施：</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提供内审记录，抽查内容如下：</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审核组：高泉凯、蔡志文：提供有内审员任命书及内审员培训记录；</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提供有首末次会议签到表，签到人员有总经理、管理者代表</w:t>
            </w:r>
            <w:r>
              <w:rPr>
                <w:rFonts w:hint="eastAsia" w:ascii="Times New Roman" w:hAnsi="Times New Roman" w:eastAsia="宋体" w:cs="Times New Roman"/>
                <w:lang w:val="en-US" w:eastAsia="zh-CN"/>
              </w:rPr>
              <w:t>、综合部负责人</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销售部负责人、员工代表</w:t>
            </w:r>
            <w:r>
              <w:rPr>
                <w:rFonts w:hint="default" w:ascii="Times New Roman" w:hAnsi="Times New Roman" w:eastAsia="宋体" w:cs="Times New Roman"/>
                <w:lang w:val="en-US" w:eastAsia="zh-CN"/>
              </w:rPr>
              <w:t>；</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查2021.1</w:t>
            </w:r>
            <w:r>
              <w:rPr>
                <w:rFonts w:hint="eastAsia" w:ascii="Times New Roman" w:hAnsi="Times New Roman" w:eastAsia="宋体" w:cs="Times New Roman"/>
                <w:lang w:val="en-US" w:eastAsia="zh-CN"/>
              </w:rPr>
              <w:t>2.2.</w:t>
            </w:r>
            <w:r>
              <w:rPr>
                <w:rFonts w:hint="default" w:ascii="Times New Roman" w:hAnsi="Times New Roman" w:eastAsia="宋体" w:cs="Times New Roman"/>
                <w:lang w:val="en-US" w:eastAsia="zh-CN"/>
              </w:rPr>
              <w:t>制定计划，2021.1</w:t>
            </w:r>
            <w:r>
              <w:rPr>
                <w:rFonts w:hint="eastAsia" w:ascii="Times New Roman" w:hAnsi="Times New Roman" w:eastAsia="宋体" w:cs="Times New Roman"/>
                <w:lang w:val="en-US" w:eastAsia="zh-CN"/>
              </w:rPr>
              <w:t>2.7.</w:t>
            </w:r>
            <w:r>
              <w:rPr>
                <w:rFonts w:hint="default" w:ascii="Times New Roman" w:hAnsi="Times New Roman" w:eastAsia="宋体" w:cs="Times New Roman"/>
                <w:lang w:val="en-US" w:eastAsia="zh-CN"/>
              </w:rPr>
              <w:t>实施的内部审核，内容包括审核目的、审核范围、审核准则、审核具体日程安排、编制批准等，内容完整，能够满足策划要求。</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提供各部门《内部审核检查表》，内容包括条款号、检查内容、检查记录和结果判定等，记录显示，审核组有按照计划要求进行，满足执行要求。</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查《内审报告》中内部审核结论记录如下：本公司建立的环境、职业健康安全管理体系符合GB/T24001-2016、GB/T45001-2020标准要求</w:t>
            </w:r>
          </w:p>
          <w:p>
            <w:pPr>
              <w:spacing w:line="240" w:lineRule="auto"/>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查“内部审核不符合项报告”，</w:t>
            </w:r>
            <w:r>
              <w:rPr>
                <w:rFonts w:hint="eastAsia" w:ascii="Times New Roman" w:hAnsi="Times New Roman" w:eastAsia="宋体" w:cs="Times New Roman"/>
                <w:lang w:val="en-US" w:eastAsia="zh-CN"/>
              </w:rPr>
              <w:t>一般</w:t>
            </w:r>
            <w:r>
              <w:rPr>
                <w:rFonts w:hint="default" w:ascii="Times New Roman" w:hAnsi="Times New Roman" w:eastAsia="宋体" w:cs="Times New Roman"/>
                <w:lang w:val="en-US" w:eastAsia="zh-CN"/>
              </w:rPr>
              <w:t>不合格</w:t>
            </w:r>
            <w:r>
              <w:rPr>
                <w:rFonts w:hint="eastAsia" w:ascii="Times New Roman" w:hAnsi="Times New Roman" w:eastAsia="宋体" w:cs="Times New Roman"/>
                <w:lang w:val="en-US" w:eastAsia="zh-CN"/>
              </w:rPr>
              <w:t>1项，已纠正、验证、关闭。</w:t>
            </w:r>
          </w:p>
          <w:p>
            <w:pPr>
              <w:spacing w:line="240" w:lineRule="auto"/>
              <w:jc w:val="left"/>
              <w:rPr>
                <w:rFonts w:hint="default"/>
                <w:lang w:val="en-US" w:eastAsia="zh-CN"/>
              </w:rPr>
            </w:pPr>
            <w:r>
              <w:rPr>
                <w:rFonts w:hint="default" w:ascii="Times New Roman" w:hAnsi="Times New Roman" w:eastAsia="宋体" w:cs="Times New Roman"/>
                <w:lang w:val="en-US" w:eastAsia="zh-CN"/>
              </w:rPr>
              <w:t>——内部审核控制基本有效。</w:t>
            </w:r>
          </w:p>
        </w:tc>
        <w:tc>
          <w:tcPr>
            <w:tcW w:w="1585" w:type="dxa"/>
          </w:tcPr>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监视、测量、分析和评价绩效;不符合和纠正措施</w:t>
            </w:r>
          </w:p>
        </w:tc>
        <w:tc>
          <w:tcPr>
            <w:tcW w:w="960" w:type="dxa"/>
          </w:tcPr>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ES9.1.1、10.2</w:t>
            </w:r>
          </w:p>
        </w:tc>
        <w:tc>
          <w:tcPr>
            <w:tcW w:w="10004" w:type="dxa"/>
          </w:tcPr>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---策划：《环境职业健康安全监视和测量程序》、《不符合纠正与预防措施控制程序》。</w:t>
            </w:r>
          </w:p>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---实施：</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部门通过管理评审、内审、目标指标考核、过程控制、纠正措施和预防措施等方式，进行环境和安全管理体系过程的监视和测量，找出改进点，持续改进环境和健康安全管理体系的运行有效性。</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部门过程的监视、测量、分析、评价主要表现在以下几个方面</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1.目标指标考评：其2021年5月-2022年3月公司及部门分解目标均已达成，有效证实体系过程具备目标指标的实现能力。</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 日常监测包括自查、接受检查，目前未发现问题。对各部门目标进行考核，目标经考核能完成。对完成情况进行分析，在部门工作报告中，整体认为部门的监测分析工作基本有效。本年度内审中发现的不符合一项，为一般不符合，不会引起体系严重失效，已验证关闭。管评的改进措施正在实施中。部门执行环境、职业健康安全手册相关内容，明确公司收集分析信息数据的内容、责任部门及方法等内容。分析和评价机制运行有效，基本符合要求。</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3.过程控制：出示有管理目标统计表，重要环境因素清单、年度培训计划及培训记录等。</w:t>
            </w:r>
          </w:p>
          <w:p>
            <w:pPr>
              <w:spacing w:line="24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——上述描述基本有效证实了部门体系过程监视、测量、分析和评价，不符合和纠正措施符合要求。</w:t>
            </w:r>
          </w:p>
        </w:tc>
        <w:tc>
          <w:tcPr>
            <w:tcW w:w="1585" w:type="dxa"/>
          </w:tcPr>
          <w:p>
            <w:pPr>
              <w:spacing w:line="24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Y</w:t>
            </w:r>
          </w:p>
        </w:tc>
      </w:tr>
    </w:tbl>
    <w:p>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b/>
      </w:r>
    </w:p>
    <w:p>
      <w:pPr>
        <w:spacing w:line="360" w:lineRule="auto"/>
        <w:jc w:val="left"/>
        <w:rPr>
          <w:rFonts w:hint="eastAsia" w:ascii="Times New Roman" w:hAnsi="Times New Roman" w:eastAsia="宋体" w:cs="Times New Roman"/>
          <w:lang w:val="en-US" w:eastAsia="zh-CN"/>
        </w:rPr>
      </w:pPr>
    </w:p>
    <w:p>
      <w:pPr>
        <w:spacing w:line="360" w:lineRule="auto"/>
        <w:jc w:val="left"/>
        <w:rPr>
          <w:rFonts w:hint="eastAsia" w:ascii="Times New Roman" w:hAnsi="Times New Roman" w:eastAsia="宋体" w:cs="Times New Roman"/>
          <w:lang w:val="en-US" w:eastAsia="zh-CN"/>
        </w:rPr>
      </w:pPr>
    </w:p>
    <w:p>
      <w:pPr>
        <w:spacing w:line="360" w:lineRule="auto"/>
        <w:jc w:val="left"/>
      </w:pPr>
      <w:r>
        <w:rPr>
          <w:rFonts w:hint="eastAsia" w:ascii="Times New Roman" w:hAnsi="Times New Roman" w:eastAsia="宋体" w:cs="Times New Roman"/>
          <w:lang w:val="en-US" w:eastAsia="zh-CN"/>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22246"/>
    <w:multiLevelType w:val="singleLevel"/>
    <w:tmpl w:val="AF222246"/>
    <w:lvl w:ilvl="0" w:tentative="0">
      <w:start w:val="5"/>
      <w:numFmt w:val="decimal"/>
      <w:lvlText w:val="%1"/>
      <w:lvlJc w:val="left"/>
    </w:lvl>
  </w:abstractNum>
  <w:abstractNum w:abstractNumId="1">
    <w:nsid w:val="DEFE38E7"/>
    <w:multiLevelType w:val="singleLevel"/>
    <w:tmpl w:val="DEFE38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080804"/>
    <w:rsid w:val="026033BA"/>
    <w:rsid w:val="028D5673"/>
    <w:rsid w:val="030376E3"/>
    <w:rsid w:val="03062D2F"/>
    <w:rsid w:val="067D4697"/>
    <w:rsid w:val="06A06A88"/>
    <w:rsid w:val="071023CF"/>
    <w:rsid w:val="07AE33AA"/>
    <w:rsid w:val="07CD02C0"/>
    <w:rsid w:val="07DA2F78"/>
    <w:rsid w:val="08FF1BE2"/>
    <w:rsid w:val="09B01DCA"/>
    <w:rsid w:val="0A222BA9"/>
    <w:rsid w:val="0AE5475F"/>
    <w:rsid w:val="0B1910AC"/>
    <w:rsid w:val="0B4B7E79"/>
    <w:rsid w:val="0B9751CA"/>
    <w:rsid w:val="0C120997"/>
    <w:rsid w:val="0CE9794A"/>
    <w:rsid w:val="0CF16457"/>
    <w:rsid w:val="0D6536C2"/>
    <w:rsid w:val="0E3A5F83"/>
    <w:rsid w:val="0F1A6AA2"/>
    <w:rsid w:val="10507CE0"/>
    <w:rsid w:val="11B531E7"/>
    <w:rsid w:val="11C269BB"/>
    <w:rsid w:val="11F50B3F"/>
    <w:rsid w:val="121E1726"/>
    <w:rsid w:val="13637D2A"/>
    <w:rsid w:val="136C4E31"/>
    <w:rsid w:val="13E81347"/>
    <w:rsid w:val="14AB6DD1"/>
    <w:rsid w:val="18A67ECD"/>
    <w:rsid w:val="19744A3F"/>
    <w:rsid w:val="19FE7DB0"/>
    <w:rsid w:val="1A0A7151"/>
    <w:rsid w:val="1A312930"/>
    <w:rsid w:val="1A385A6D"/>
    <w:rsid w:val="1A89451A"/>
    <w:rsid w:val="1C85738F"/>
    <w:rsid w:val="1D0664D9"/>
    <w:rsid w:val="1E323433"/>
    <w:rsid w:val="1E9D67E6"/>
    <w:rsid w:val="1EB61EB8"/>
    <w:rsid w:val="1ED646EB"/>
    <w:rsid w:val="1F2962CC"/>
    <w:rsid w:val="1F9C084C"/>
    <w:rsid w:val="1FB70CDF"/>
    <w:rsid w:val="200D1749"/>
    <w:rsid w:val="20857532"/>
    <w:rsid w:val="20EF0E4F"/>
    <w:rsid w:val="215A09BE"/>
    <w:rsid w:val="219029AA"/>
    <w:rsid w:val="22041E11"/>
    <w:rsid w:val="2217240B"/>
    <w:rsid w:val="23490CEA"/>
    <w:rsid w:val="23871813"/>
    <w:rsid w:val="2533755C"/>
    <w:rsid w:val="25513E86"/>
    <w:rsid w:val="25535E50"/>
    <w:rsid w:val="259B30D5"/>
    <w:rsid w:val="260C722F"/>
    <w:rsid w:val="26703B29"/>
    <w:rsid w:val="26941252"/>
    <w:rsid w:val="26C64400"/>
    <w:rsid w:val="278C564A"/>
    <w:rsid w:val="27AE57CF"/>
    <w:rsid w:val="282A2130"/>
    <w:rsid w:val="286B34B1"/>
    <w:rsid w:val="28CF3A40"/>
    <w:rsid w:val="29995DFC"/>
    <w:rsid w:val="29B77AC9"/>
    <w:rsid w:val="29CC0FF0"/>
    <w:rsid w:val="2A642391"/>
    <w:rsid w:val="2A93629B"/>
    <w:rsid w:val="2AF459E0"/>
    <w:rsid w:val="2B992AAD"/>
    <w:rsid w:val="2BC6017B"/>
    <w:rsid w:val="2C273564"/>
    <w:rsid w:val="2C7F6DBF"/>
    <w:rsid w:val="2CE3345C"/>
    <w:rsid w:val="2DB33930"/>
    <w:rsid w:val="2DC201C2"/>
    <w:rsid w:val="2E644C2A"/>
    <w:rsid w:val="2EBA3D12"/>
    <w:rsid w:val="2F677429"/>
    <w:rsid w:val="301436BC"/>
    <w:rsid w:val="30B77129"/>
    <w:rsid w:val="31046251"/>
    <w:rsid w:val="313A6116"/>
    <w:rsid w:val="314525F0"/>
    <w:rsid w:val="32155F43"/>
    <w:rsid w:val="32720496"/>
    <w:rsid w:val="333F59D3"/>
    <w:rsid w:val="33AA618C"/>
    <w:rsid w:val="33EE0579"/>
    <w:rsid w:val="349321A2"/>
    <w:rsid w:val="34F52660"/>
    <w:rsid w:val="34F95019"/>
    <w:rsid w:val="350E4D5D"/>
    <w:rsid w:val="354847BF"/>
    <w:rsid w:val="359F0C3E"/>
    <w:rsid w:val="36523FE6"/>
    <w:rsid w:val="37016D1F"/>
    <w:rsid w:val="37774AEE"/>
    <w:rsid w:val="38287C31"/>
    <w:rsid w:val="38320053"/>
    <w:rsid w:val="39B64FDD"/>
    <w:rsid w:val="3A340FF7"/>
    <w:rsid w:val="3A520CB3"/>
    <w:rsid w:val="3A5C691B"/>
    <w:rsid w:val="3A9E400B"/>
    <w:rsid w:val="3B2624CA"/>
    <w:rsid w:val="3B401368"/>
    <w:rsid w:val="3BA0301A"/>
    <w:rsid w:val="3BDC51A5"/>
    <w:rsid w:val="3C6E4EC6"/>
    <w:rsid w:val="3CD964B6"/>
    <w:rsid w:val="3D6407A3"/>
    <w:rsid w:val="3D7D1865"/>
    <w:rsid w:val="3DE03BA2"/>
    <w:rsid w:val="3F213EEF"/>
    <w:rsid w:val="3F2711F8"/>
    <w:rsid w:val="3F4B1719"/>
    <w:rsid w:val="3F7A1075"/>
    <w:rsid w:val="3FDA0242"/>
    <w:rsid w:val="40013524"/>
    <w:rsid w:val="41C061C4"/>
    <w:rsid w:val="41C923F0"/>
    <w:rsid w:val="42AE4CA0"/>
    <w:rsid w:val="42EB4C89"/>
    <w:rsid w:val="430D0CC0"/>
    <w:rsid w:val="43374264"/>
    <w:rsid w:val="43652BBD"/>
    <w:rsid w:val="43B563D0"/>
    <w:rsid w:val="43F40045"/>
    <w:rsid w:val="4416656F"/>
    <w:rsid w:val="44825BD3"/>
    <w:rsid w:val="45066DEA"/>
    <w:rsid w:val="45CD7101"/>
    <w:rsid w:val="45D51725"/>
    <w:rsid w:val="45F82894"/>
    <w:rsid w:val="46AF05B5"/>
    <w:rsid w:val="473024E0"/>
    <w:rsid w:val="47D06E9E"/>
    <w:rsid w:val="47E6756E"/>
    <w:rsid w:val="48515DC8"/>
    <w:rsid w:val="486B1D5B"/>
    <w:rsid w:val="48847F4B"/>
    <w:rsid w:val="48EC0D19"/>
    <w:rsid w:val="49E72718"/>
    <w:rsid w:val="49E901DB"/>
    <w:rsid w:val="49F73551"/>
    <w:rsid w:val="4A0A4DC5"/>
    <w:rsid w:val="4A6B1296"/>
    <w:rsid w:val="4A8E6E5F"/>
    <w:rsid w:val="4ABF34BD"/>
    <w:rsid w:val="4ACB00B3"/>
    <w:rsid w:val="4ADD20E3"/>
    <w:rsid w:val="4B6F76CC"/>
    <w:rsid w:val="4B927AB1"/>
    <w:rsid w:val="4B9761E7"/>
    <w:rsid w:val="4D7A32EE"/>
    <w:rsid w:val="4DE72A0B"/>
    <w:rsid w:val="4E1E1EC4"/>
    <w:rsid w:val="4E8642F1"/>
    <w:rsid w:val="4EC866B8"/>
    <w:rsid w:val="4ED60DD5"/>
    <w:rsid w:val="4FA113E3"/>
    <w:rsid w:val="4FAD15FD"/>
    <w:rsid w:val="4FCE7400"/>
    <w:rsid w:val="50041972"/>
    <w:rsid w:val="50D7042D"/>
    <w:rsid w:val="510D2AA8"/>
    <w:rsid w:val="51602A7F"/>
    <w:rsid w:val="51615769"/>
    <w:rsid w:val="52433E20"/>
    <w:rsid w:val="53B153EA"/>
    <w:rsid w:val="53B47B37"/>
    <w:rsid w:val="53CF054E"/>
    <w:rsid w:val="54705828"/>
    <w:rsid w:val="552D3719"/>
    <w:rsid w:val="55A35789"/>
    <w:rsid w:val="561225E1"/>
    <w:rsid w:val="56666EE2"/>
    <w:rsid w:val="575B58B1"/>
    <w:rsid w:val="576670AF"/>
    <w:rsid w:val="57B84725"/>
    <w:rsid w:val="57FD3876"/>
    <w:rsid w:val="57FE19D4"/>
    <w:rsid w:val="580764A3"/>
    <w:rsid w:val="581B1092"/>
    <w:rsid w:val="588F279F"/>
    <w:rsid w:val="59010466"/>
    <w:rsid w:val="59647D01"/>
    <w:rsid w:val="596B7539"/>
    <w:rsid w:val="59F52EB6"/>
    <w:rsid w:val="5B655E4C"/>
    <w:rsid w:val="5BD40D92"/>
    <w:rsid w:val="5BE77A36"/>
    <w:rsid w:val="5C3E620B"/>
    <w:rsid w:val="5C5B5BA0"/>
    <w:rsid w:val="5CD526CC"/>
    <w:rsid w:val="5CDD32B5"/>
    <w:rsid w:val="5D423AD9"/>
    <w:rsid w:val="5D6E1CEF"/>
    <w:rsid w:val="5DD07337"/>
    <w:rsid w:val="5E7F4FE5"/>
    <w:rsid w:val="5FC30F01"/>
    <w:rsid w:val="5FDC6C80"/>
    <w:rsid w:val="5FEE0533"/>
    <w:rsid w:val="60367925"/>
    <w:rsid w:val="60BA0556"/>
    <w:rsid w:val="60DB3736"/>
    <w:rsid w:val="61CE2504"/>
    <w:rsid w:val="62570027"/>
    <w:rsid w:val="631B2E02"/>
    <w:rsid w:val="637013A0"/>
    <w:rsid w:val="64F55B6C"/>
    <w:rsid w:val="653F7059"/>
    <w:rsid w:val="659375C8"/>
    <w:rsid w:val="659438DB"/>
    <w:rsid w:val="665369B0"/>
    <w:rsid w:val="66FB46C0"/>
    <w:rsid w:val="670562A3"/>
    <w:rsid w:val="683B79DF"/>
    <w:rsid w:val="68725BBA"/>
    <w:rsid w:val="69366644"/>
    <w:rsid w:val="69704EF9"/>
    <w:rsid w:val="6A9B6BFE"/>
    <w:rsid w:val="6AF80213"/>
    <w:rsid w:val="6B3B747A"/>
    <w:rsid w:val="6B657311"/>
    <w:rsid w:val="6B7539D3"/>
    <w:rsid w:val="6BC32289"/>
    <w:rsid w:val="6C133210"/>
    <w:rsid w:val="6C982863"/>
    <w:rsid w:val="6CCE5A65"/>
    <w:rsid w:val="6D0E4FE1"/>
    <w:rsid w:val="6E3D4575"/>
    <w:rsid w:val="6EF8049C"/>
    <w:rsid w:val="6F527D12"/>
    <w:rsid w:val="70333E81"/>
    <w:rsid w:val="70FF5EB9"/>
    <w:rsid w:val="71C145EA"/>
    <w:rsid w:val="72523D18"/>
    <w:rsid w:val="72D849A6"/>
    <w:rsid w:val="72E01312"/>
    <w:rsid w:val="735F0AE9"/>
    <w:rsid w:val="75025E7E"/>
    <w:rsid w:val="768B2A38"/>
    <w:rsid w:val="774B1AB0"/>
    <w:rsid w:val="78D527E1"/>
    <w:rsid w:val="78F82C02"/>
    <w:rsid w:val="79116D2A"/>
    <w:rsid w:val="79ED5FA4"/>
    <w:rsid w:val="7A523156"/>
    <w:rsid w:val="7AE2272C"/>
    <w:rsid w:val="7B2D23F7"/>
    <w:rsid w:val="7B382A71"/>
    <w:rsid w:val="7B5353D8"/>
    <w:rsid w:val="7C4603DF"/>
    <w:rsid w:val="7C911E09"/>
    <w:rsid w:val="7CC12815"/>
    <w:rsid w:val="7CD10CAA"/>
    <w:rsid w:val="7DBD022D"/>
    <w:rsid w:val="7F86582B"/>
    <w:rsid w:val="7FE24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21"/>
    </w:rPr>
  </w:style>
  <w:style w:type="paragraph" w:styleId="2">
    <w:name w:val="heading 2"/>
    <w:basedOn w:val="1"/>
    <w:next w:val="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2022-04-26T18:07:05Z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eyJoZGlkIjoiYmM3NDJhNGRkNmZiZjA2OTg3ZjZiMDhkODZkNmNlMjcifQ==</vt:lpwstr>
  </property>
</Properties>
</file>