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邹敏峰</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廖玉丽</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2022.3.18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4"/>
                <w:szCs w:val="24"/>
              </w:rPr>
            </w:pPr>
            <w:r>
              <w:rPr>
                <w:rFonts w:hint="eastAsia" w:ascii="楷体" w:hAnsi="楷体" w:eastAsia="楷体"/>
                <w:szCs w:val="21"/>
              </w:rPr>
              <w:t>审核条款：</w:t>
            </w:r>
            <w:r>
              <w:rPr>
                <w:rFonts w:hint="eastAsia" w:ascii="楷体" w:hAnsi="楷体" w:eastAsia="楷体" w:cs="楷体"/>
                <w:spacing w:val="-6"/>
                <w:sz w:val="24"/>
                <w:szCs w:val="24"/>
              </w:rPr>
              <w:t>E</w:t>
            </w:r>
            <w:r>
              <w:rPr>
                <w:rFonts w:hint="eastAsia" w:ascii="楷体" w:hAnsi="楷体" w:eastAsia="楷体" w:cs="楷体"/>
                <w:spacing w:val="-6"/>
                <w:sz w:val="24"/>
                <w:szCs w:val="24"/>
                <w:lang w:val="en-US" w:eastAsia="zh-CN"/>
              </w:rPr>
              <w:t>/</w:t>
            </w:r>
            <w:r>
              <w:rPr>
                <w:rFonts w:hint="eastAsia" w:ascii="楷体" w:hAnsi="楷体" w:eastAsia="楷体" w:cs="楷体"/>
                <w:spacing w:val="-6"/>
                <w:sz w:val="24"/>
                <w:szCs w:val="24"/>
              </w:rPr>
              <w:t>O:4.1理解组织及其环境、4.2理解相关方的需求和期望、4.3 确定管理体系的范围、4.4环境/</w:t>
            </w:r>
            <w:r>
              <w:rPr>
                <w:rFonts w:hint="eastAsia" w:ascii="楷体" w:hAnsi="楷体" w:eastAsia="楷体" w:cs="楷体"/>
                <w:sz w:val="24"/>
                <w:szCs w:val="24"/>
              </w:rPr>
              <w:t>职业健康</w:t>
            </w:r>
            <w:r>
              <w:rPr>
                <w:rFonts w:hint="eastAsia" w:ascii="楷体" w:hAnsi="楷体" w:eastAsia="楷体" w:cs="楷体"/>
                <w:spacing w:val="-6"/>
                <w:sz w:val="24"/>
                <w:szCs w:val="24"/>
              </w:rPr>
              <w:t>安全管理体系及其过程、5.1领导作用和承诺、5.2环境/</w:t>
            </w:r>
            <w:r>
              <w:rPr>
                <w:rFonts w:hint="eastAsia" w:ascii="楷体" w:hAnsi="楷体" w:eastAsia="楷体" w:cs="楷体"/>
                <w:sz w:val="24"/>
                <w:szCs w:val="24"/>
              </w:rPr>
              <w:t>职业健康</w:t>
            </w:r>
            <w:r>
              <w:rPr>
                <w:rFonts w:hint="eastAsia" w:ascii="楷体" w:hAnsi="楷体" w:eastAsia="楷体" w:cs="楷体"/>
                <w:spacing w:val="-6"/>
                <w:sz w:val="24"/>
                <w:szCs w:val="24"/>
              </w:rPr>
              <w:t>安全方针、5.3组织的岗位、职责和权限、O5.4协商与参与、6.1应对风险和机遇的措施、6.2环境/</w:t>
            </w:r>
            <w:r>
              <w:rPr>
                <w:rFonts w:hint="eastAsia" w:ascii="楷体" w:hAnsi="楷体" w:eastAsia="楷体" w:cs="楷体"/>
                <w:sz w:val="24"/>
                <w:szCs w:val="24"/>
              </w:rPr>
              <w:t>职业健康</w:t>
            </w:r>
            <w:r>
              <w:rPr>
                <w:rFonts w:hint="eastAsia" w:ascii="楷体" w:hAnsi="楷体" w:eastAsia="楷体" w:cs="楷体"/>
                <w:spacing w:val="-6"/>
                <w:sz w:val="24"/>
                <w:szCs w:val="24"/>
              </w:rPr>
              <w:t>安全目标及其实现的策划、7.1.1（EO7.1）资源总则、7.4沟通/信息交流、9.3管理评审、10.1改进、10.3持续改进，</w:t>
            </w:r>
          </w:p>
          <w:p>
            <w:pPr>
              <w:ind w:firstLine="456" w:firstLineChars="200"/>
              <w:rPr>
                <w:rFonts w:hint="eastAsia" w:ascii="楷体" w:hAnsi="楷体" w:eastAsia="楷体" w:cs="楷体"/>
                <w:spacing w:val="-6"/>
                <w:sz w:val="24"/>
                <w:szCs w:val="24"/>
              </w:rPr>
            </w:pPr>
            <w:r>
              <w:rPr>
                <w:rFonts w:hint="eastAsia" w:ascii="楷体" w:hAnsi="楷体" w:eastAsia="楷体" w:cs="楷体"/>
                <w:spacing w:val="-6"/>
                <w:sz w:val="24"/>
                <w:szCs w:val="24"/>
              </w:rPr>
              <w:t>国家/地方监督抽查情况；顾客满意、相关方投诉及处理情况；一阶段问题验证，</w:t>
            </w:r>
          </w:p>
          <w:p>
            <w:pPr>
              <w:rPr>
                <w:rFonts w:ascii="楷体" w:hAnsi="楷体" w:eastAsia="楷体"/>
                <w:szCs w:val="21"/>
              </w:rPr>
            </w:pPr>
            <w:r>
              <w:rPr>
                <w:rFonts w:hint="eastAsia" w:ascii="楷体" w:hAnsi="楷体" w:eastAsia="楷体" w:cs="楷体"/>
                <w:spacing w:val="-6"/>
                <w:sz w:val="24"/>
                <w:szCs w:val="24"/>
              </w:rPr>
              <w:t>验证企业相关资质证明的有效性；</w:t>
            </w:r>
            <w:r>
              <w:rPr>
                <w:rFonts w:hint="eastAsia" w:ascii="楷体" w:hAnsi="楷体" w:eastAsia="楷体" w:cs="楷体"/>
                <w:sz w:val="24"/>
                <w:szCs w:val="24"/>
              </w:rPr>
              <w:t xml:space="preserve"> </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管代</w:t>
            </w:r>
            <w:r>
              <w:rPr>
                <w:rFonts w:hint="eastAsia" w:ascii="楷体" w:hAnsi="楷体" w:eastAsia="楷体"/>
                <w:sz w:val="24"/>
                <w:szCs w:val="24"/>
                <w:lang w:val="en-US" w:eastAsia="zh-CN"/>
              </w:rPr>
              <w:t>邹敏峰</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16</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月，法人代表</w:t>
            </w:r>
            <w:r>
              <w:rPr>
                <w:rFonts w:hint="eastAsia" w:ascii="楷体" w:hAnsi="楷体" w:eastAsia="楷体"/>
                <w:sz w:val="24"/>
                <w:szCs w:val="24"/>
                <w:lang w:val="en-US" w:eastAsia="zh-CN"/>
              </w:rPr>
              <w:t>王善跃</w:t>
            </w:r>
            <w:r>
              <w:rPr>
                <w:rFonts w:hint="eastAsia" w:ascii="楷体" w:hAnsi="楷体" w:eastAsia="楷体"/>
                <w:sz w:val="24"/>
                <w:szCs w:val="24"/>
              </w:rPr>
              <w:t>，注册地址：</w:t>
            </w:r>
            <w:bookmarkStart w:id="0" w:name="注册地址"/>
            <w:r>
              <w:rPr>
                <w:rFonts w:hint="eastAsia" w:ascii="楷体" w:hAnsi="楷体" w:eastAsia="楷体" w:cs="楷体"/>
                <w:sz w:val="24"/>
                <w:szCs w:val="24"/>
              </w:rPr>
              <w:t>江西省萍乡市芦溪县上埠镇下源村工业区</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pacing w:val="20"/>
                <w:sz w:val="24"/>
                <w:szCs w:val="24"/>
                <w:lang w:val="en-US" w:eastAsia="zh-CN"/>
              </w:rPr>
              <w:t>高低压电瓷生产、</w:t>
            </w:r>
            <w:r>
              <w:rPr>
                <w:rFonts w:hint="eastAsia" w:ascii="楷体" w:hAnsi="楷体" w:eastAsia="楷体" w:cs="楷体"/>
                <w:sz w:val="24"/>
                <w:szCs w:val="24"/>
              </w:rPr>
              <w:t>销售。</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邹敏峰</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近2年</w:t>
            </w:r>
            <w:r>
              <w:rPr>
                <w:rFonts w:hint="eastAsia" w:ascii="楷体" w:hAnsi="楷体" w:eastAsia="楷体"/>
                <w:sz w:val="24"/>
                <w:szCs w:val="24"/>
              </w:rPr>
              <w:t>。对部门及其职责进行了规定，设有</w:t>
            </w:r>
            <w:r>
              <w:rPr>
                <w:rFonts w:hint="eastAsia" w:ascii="楷体" w:hAnsi="楷体" w:eastAsia="楷体"/>
                <w:sz w:val="24"/>
                <w:szCs w:val="24"/>
                <w:lang w:val="en-US" w:eastAsia="zh-CN"/>
              </w:rPr>
              <w:t>综合部、销售部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w:t>
            </w:r>
            <w:r>
              <w:rPr>
                <w:rFonts w:hint="eastAsia" w:ascii="楷体" w:hAnsi="楷体" w:eastAsia="楷体"/>
                <w:sz w:val="24"/>
                <w:szCs w:val="24"/>
                <w:lang w:val="en-US" w:eastAsia="zh-CN"/>
              </w:rPr>
              <w:t>管理</w:t>
            </w:r>
            <w:r>
              <w:rPr>
                <w:rFonts w:hint="eastAsia" w:ascii="楷体" w:hAnsi="楷体" w:eastAsia="楷体"/>
                <w:sz w:val="24"/>
                <w:szCs w:val="24"/>
              </w:rPr>
              <w:t>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月开始运行三体系，组织了内审员培训，识别了生产的过程及其相互关系，企业提供编号：</w:t>
            </w:r>
            <w:r>
              <w:rPr>
                <w:rFonts w:hint="eastAsia" w:ascii="Arial" w:hAnsi="Arial" w:eastAsia="宋体" w:cs="Arial"/>
                <w:b w:val="0"/>
                <w:bCs/>
                <w:sz w:val="21"/>
                <w:szCs w:val="21"/>
                <w:lang w:val="en-US" w:eastAsia="zh-CN"/>
              </w:rPr>
              <w:t>HCDQ-EHS</w:t>
            </w:r>
            <w:r>
              <w:rPr>
                <w:rFonts w:ascii="Arial" w:hAnsi="Arial" w:eastAsia="宋体" w:cs="Arial"/>
                <w:b w:val="0"/>
                <w:bCs/>
                <w:sz w:val="21"/>
                <w:szCs w:val="21"/>
                <w:lang w:eastAsia="zh-CN"/>
              </w:rPr>
              <w:t>/SC-</w:t>
            </w:r>
            <w:r>
              <w:rPr>
                <w:rFonts w:hint="eastAsia" w:ascii="Arial" w:hAnsi="Arial" w:eastAsia="宋体" w:cs="Arial"/>
                <w:b w:val="0"/>
                <w:bCs/>
                <w:sz w:val="21"/>
                <w:szCs w:val="21"/>
                <w:lang w:val="en-US" w:eastAsia="zh-CN"/>
              </w:rPr>
              <w:t>2020</w:t>
            </w:r>
            <w:r>
              <w:rPr>
                <w:rFonts w:hint="eastAsia" w:ascii="楷体" w:hAnsi="楷体" w:eastAsia="楷体"/>
                <w:sz w:val="24"/>
                <w:szCs w:val="24"/>
              </w:rPr>
              <w:t>《管理手册》，依据</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实施；总经理</w:t>
            </w:r>
            <w:r>
              <w:rPr>
                <w:rFonts w:hint="eastAsia" w:ascii="楷体" w:hAnsi="楷体" w:eastAsia="楷体" w:cs="楷体"/>
                <w:sz w:val="24"/>
                <w:lang w:val="en-US" w:eastAsia="zh-CN"/>
              </w:rPr>
              <w:t>游佳昕</w:t>
            </w:r>
            <w:r>
              <w:rPr>
                <w:rFonts w:hint="eastAsia" w:ascii="楷体" w:hAnsi="楷体" w:eastAsia="楷体"/>
                <w:sz w:val="24"/>
                <w:szCs w:val="24"/>
              </w:rPr>
              <w:t>批准。任命管代：</w:t>
            </w:r>
            <w:r>
              <w:rPr>
                <w:rFonts w:hint="eastAsia" w:ascii="楷体" w:hAnsi="楷体" w:eastAsia="楷体"/>
                <w:sz w:val="24"/>
                <w:szCs w:val="24"/>
                <w:lang w:val="en-US" w:eastAsia="zh-CN"/>
              </w:rPr>
              <w:t>邹敏峰</w:t>
            </w:r>
            <w:r>
              <w:rPr>
                <w:rFonts w:hint="eastAsia" w:ascii="楷体" w:hAnsi="楷体" w:eastAsia="楷体"/>
                <w:sz w:val="24"/>
                <w:szCs w:val="24"/>
              </w:rPr>
              <w:t>；职业健康安全事务代表：</w:t>
            </w:r>
            <w:r>
              <w:rPr>
                <w:rFonts w:hint="eastAsia" w:ascii="楷体" w:hAnsi="楷体" w:eastAsia="楷体" w:cs="楷体"/>
                <w:sz w:val="24"/>
                <w:lang w:val="en-US" w:eastAsia="zh-CN"/>
              </w:rPr>
              <w:t>廖玉丽</w:t>
            </w:r>
            <w:r>
              <w:rPr>
                <w:rFonts w:hint="eastAsia" w:ascii="楷体" w:hAnsi="楷体" w:eastAsia="楷体"/>
                <w:sz w:val="24"/>
                <w:szCs w:val="24"/>
              </w:rPr>
              <w:t>，现有手册从发布实施以来已经运行</w:t>
            </w:r>
            <w:r>
              <w:rPr>
                <w:rFonts w:hint="eastAsia" w:ascii="楷体" w:hAnsi="楷体" w:eastAsia="楷体"/>
                <w:sz w:val="24"/>
                <w:szCs w:val="24"/>
                <w:lang w:val="en-US" w:eastAsia="zh-CN"/>
              </w:rPr>
              <w:t>1年多</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Arial" w:hAnsi="Arial" w:eastAsia="宋体" w:cs="Arial"/>
                <w:b w:val="0"/>
                <w:bCs/>
                <w:sz w:val="21"/>
                <w:szCs w:val="21"/>
                <w:lang w:val="en-US" w:eastAsia="zh-CN"/>
              </w:rPr>
              <w:t>HCDQ-EHS</w:t>
            </w:r>
            <w:r>
              <w:rPr>
                <w:rFonts w:ascii="Arial" w:hAnsi="Arial" w:eastAsia="宋体" w:cs="Arial"/>
                <w:b w:val="0"/>
                <w:bCs/>
                <w:sz w:val="21"/>
                <w:szCs w:val="21"/>
                <w:lang w:eastAsia="zh-CN"/>
              </w:rPr>
              <w:t>/SC-</w:t>
            </w:r>
            <w:r>
              <w:rPr>
                <w:rFonts w:hint="eastAsia" w:ascii="Arial" w:hAnsi="Arial" w:eastAsia="宋体" w:cs="Arial"/>
                <w:b w:val="0"/>
                <w:bCs/>
                <w:sz w:val="21"/>
                <w:szCs w:val="21"/>
                <w:lang w:val="en-US" w:eastAsia="zh-CN"/>
              </w:rPr>
              <w:t>2020</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s="楷体"/>
                <w:sz w:val="24"/>
                <w:lang w:val="en-US" w:eastAsia="zh-CN"/>
              </w:rPr>
              <w:t>游佳昕</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w:t>
            </w:r>
            <w:r>
              <w:rPr>
                <w:rFonts w:hint="eastAsia" w:ascii="楷体" w:hAnsi="楷体" w:eastAsia="楷体"/>
                <w:color w:val="000000"/>
                <w:sz w:val="24"/>
                <w:szCs w:val="24"/>
                <w:lang w:val="en-US" w:eastAsia="zh-CN"/>
              </w:rPr>
              <w:t>销售</w:t>
            </w:r>
            <w:r>
              <w:rPr>
                <w:rFonts w:hint="eastAsia" w:ascii="楷体" w:hAnsi="楷体" w:eastAsia="楷体"/>
                <w:color w:val="000000"/>
                <w:sz w:val="24"/>
                <w:szCs w:val="24"/>
              </w:rPr>
              <w:t>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500KV及以下瓷绝缘子的销售所涉及场所的相关环境管理活动</w:t>
            </w:r>
          </w:p>
          <w:p>
            <w:pPr>
              <w:spacing w:line="360" w:lineRule="auto"/>
              <w:rPr>
                <w:rFonts w:hint="default" w:ascii="楷体" w:hAnsi="楷体" w:eastAsia="楷体"/>
                <w:color w:val="000000"/>
                <w:sz w:val="24"/>
                <w:szCs w:val="24"/>
                <w:lang w:val="en-US"/>
              </w:rPr>
            </w:pPr>
            <w:r>
              <w:rPr>
                <w:rFonts w:hint="eastAsia" w:ascii="楷体" w:hAnsi="楷体" w:eastAsia="楷体" w:cs="楷体"/>
                <w:sz w:val="24"/>
                <w:szCs w:val="24"/>
              </w:rPr>
              <w:t>O：500KV及以下瓷绝缘子的销售</w:t>
            </w:r>
            <w:r>
              <w:rPr>
                <w:rFonts w:hint="eastAsia" w:ascii="楷体" w:hAnsi="楷体" w:eastAsia="楷体" w:cs="楷体"/>
                <w:sz w:val="24"/>
                <w:szCs w:val="24"/>
                <w:lang w:val="en-US" w:eastAsia="zh-CN"/>
              </w:rPr>
              <w:t>所涉及场所的相关职业健康安全管理活动</w:t>
            </w:r>
            <w:r>
              <w:rPr>
                <w:rFonts w:hint="eastAsia" w:ascii="楷体" w:hAnsi="楷体" w:eastAsia="楷体" w:cs="楷体"/>
                <w:sz w:val="24"/>
                <w:szCs w:val="24"/>
              </w:rPr>
              <w:t>。</w:t>
            </w:r>
            <w:r>
              <w:rPr>
                <w:rFonts w:hint="eastAsia" w:ascii="楷体" w:hAnsi="楷体" w:eastAsia="楷体"/>
                <w:color w:val="000000"/>
                <w:sz w:val="24"/>
                <w:szCs w:val="24"/>
              </w:rPr>
              <w:t>公司按照国标和客户要求进行</w:t>
            </w:r>
            <w:r>
              <w:rPr>
                <w:rFonts w:hint="eastAsia" w:ascii="楷体" w:hAnsi="楷体" w:eastAsia="楷体"/>
                <w:color w:val="000000"/>
                <w:sz w:val="24"/>
                <w:szCs w:val="24"/>
                <w:lang w:val="en-US" w:eastAsia="zh-CN"/>
              </w:rPr>
              <w:t>销售。</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GB/T24001-2016</w:t>
            </w:r>
            <w:r>
              <w:rPr>
                <w:rFonts w:hint="eastAsia" w:ascii="楷体" w:hAnsi="楷体" w:eastAsia="楷体"/>
                <w:sz w:val="24"/>
                <w:szCs w:val="24"/>
              </w:rPr>
              <w:t>和</w:t>
            </w:r>
            <w:r>
              <w:rPr>
                <w:rFonts w:ascii="楷体" w:hAnsi="楷体" w:eastAsia="楷体"/>
                <w:sz w:val="24"/>
                <w:szCs w:val="24"/>
              </w:rPr>
              <w:t xml:space="preserve">ISO45001:2018 </w:t>
            </w:r>
            <w:r>
              <w:rPr>
                <w:rFonts w:hint="eastAsia" w:ascii="楷体" w:hAnsi="楷体" w:eastAsia="楷体"/>
                <w:sz w:val="24"/>
                <w:szCs w:val="24"/>
              </w:rPr>
              <w:t>标准的要求识别了环境</w:t>
            </w:r>
            <w:r>
              <w:rPr>
                <w:rFonts w:ascii="楷体" w:hAnsi="楷体" w:eastAsia="楷体"/>
                <w:sz w:val="24"/>
                <w:szCs w:val="24"/>
              </w:rPr>
              <w:t>/</w:t>
            </w:r>
            <w:r>
              <w:rPr>
                <w:rFonts w:hint="eastAsia" w:ascii="楷体" w:hAnsi="楷体" w:eastAsia="楷体"/>
                <w:sz w:val="24"/>
                <w:szCs w:val="24"/>
              </w:rPr>
              <w:t>职业健康安全管理所需的过程及相互作用，识别了环境、职业健康安全管理体系涉及的各个过程：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公司按照标准建立了文件化的环境</w:t>
            </w:r>
            <w:r>
              <w:rPr>
                <w:rFonts w:ascii="楷体" w:hAnsi="楷体" w:eastAsia="楷体"/>
                <w:sz w:val="24"/>
                <w:szCs w:val="24"/>
              </w:rPr>
              <w:t>/</w:t>
            </w:r>
            <w:r>
              <w:rPr>
                <w:rFonts w:hint="eastAsia" w:ascii="楷体" w:hAnsi="楷体" w:eastAsia="楷体"/>
                <w:sz w:val="24"/>
                <w:szCs w:val="24"/>
              </w:rPr>
              <w:t>职业健康安全管理体系，编制了环境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企业已经制定环境、安全方针，具体包含在《管理手册》，公司的环境、职业健康安全方针是：</w:t>
            </w:r>
          </w:p>
          <w:p>
            <w:pPr>
              <w:ind w:firstLine="180"/>
              <w:jc w:val="both"/>
              <w:rPr>
                <w:rFonts w:hint="eastAsia" w:ascii="楷体" w:hAnsi="楷体" w:eastAsia="楷体" w:cs="楷体"/>
                <w:sz w:val="24"/>
                <w:szCs w:val="24"/>
              </w:rPr>
            </w:pPr>
            <w:r>
              <w:rPr>
                <w:rFonts w:hint="eastAsia" w:ascii="楷体" w:hAnsi="楷体" w:eastAsia="楷体" w:cs="楷体"/>
                <w:sz w:val="24"/>
                <w:szCs w:val="24"/>
              </w:rPr>
              <w:t>以人为本，科技领先；遵章守法，安全环保</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sz w:val="24"/>
                <w:szCs w:val="24"/>
                <w:lang w:val="en-US" w:eastAsia="zh-CN"/>
              </w:rPr>
              <w:t>邹敏峰</w:t>
            </w:r>
            <w:r>
              <w:rPr>
                <w:rFonts w:hint="eastAsia" w:ascii="楷体" w:hAnsi="楷体" w:eastAsia="楷体"/>
                <w:sz w:val="24"/>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360" w:lineRule="auto"/>
              <w:rPr>
                <w:rFonts w:hint="eastAsia" w:ascii="楷体" w:hAnsi="楷体" w:eastAsia="楷体" w:cs="楷体"/>
                <w:sz w:val="24"/>
                <w:szCs w:val="24"/>
                <w:lang w:eastAsia="zh-CN"/>
              </w:rPr>
            </w:pPr>
            <w:r>
              <w:rPr>
                <w:rFonts w:hint="eastAsia" w:ascii="楷体" w:hAnsi="楷体" w:eastAsia="楷体" w:cs="楷体"/>
                <w:b/>
                <w:sz w:val="24"/>
                <w:szCs w:val="24"/>
                <w:lang w:eastAsia="zh-CN"/>
              </w:rPr>
              <w:t>环境职业健康安全目标</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（1）</w:t>
            </w:r>
            <w:r>
              <w:rPr>
                <w:rFonts w:hint="eastAsia" w:ascii="楷体" w:hAnsi="楷体" w:eastAsia="楷体" w:cs="楷体"/>
                <w:b w:val="0"/>
                <w:bCs/>
                <w:sz w:val="24"/>
                <w:szCs w:val="24"/>
                <w:lang w:val="en-US" w:eastAsia="zh-CN"/>
              </w:rPr>
              <w:t>固体废弃物</w:t>
            </w:r>
            <w:r>
              <w:rPr>
                <w:rFonts w:hint="eastAsia" w:ascii="楷体" w:hAnsi="楷体" w:eastAsia="楷体" w:cs="楷体"/>
                <w:b w:val="0"/>
                <w:bCs/>
                <w:sz w:val="24"/>
                <w:szCs w:val="24"/>
                <w:lang w:eastAsia="zh-CN"/>
              </w:rPr>
              <w:t>100%分类处理；     </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（2）环境污染事故为0；</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（3）</w:t>
            </w:r>
            <w:r>
              <w:rPr>
                <w:rFonts w:hint="eastAsia" w:ascii="楷体" w:hAnsi="楷体" w:eastAsia="楷体" w:cs="楷体"/>
                <w:b w:val="0"/>
                <w:bCs/>
                <w:sz w:val="24"/>
                <w:szCs w:val="24"/>
                <w:lang w:val="en-US" w:eastAsia="zh-CN"/>
              </w:rPr>
              <w:t>重大</w:t>
            </w:r>
            <w:r>
              <w:rPr>
                <w:rFonts w:hint="eastAsia" w:ascii="楷体" w:hAnsi="楷体" w:eastAsia="楷体" w:cs="楷体"/>
                <w:b w:val="0"/>
                <w:bCs/>
                <w:sz w:val="24"/>
                <w:szCs w:val="24"/>
                <w:lang w:eastAsia="zh-CN"/>
              </w:rPr>
              <w:t xml:space="preserve">安全事故发生为0； </w:t>
            </w:r>
          </w:p>
          <w:p>
            <w:pPr>
              <w:spacing w:line="360" w:lineRule="auto"/>
              <w:rPr>
                <w:rFonts w:hint="eastAsia" w:ascii="楷体" w:hAnsi="楷体" w:eastAsia="楷体" w:cs="楷体"/>
                <w:b/>
                <w:sz w:val="24"/>
                <w:szCs w:val="24"/>
                <w:lang w:eastAsia="zh-CN"/>
              </w:rPr>
            </w:pPr>
            <w:r>
              <w:rPr>
                <w:rFonts w:hint="eastAsia" w:ascii="楷体" w:hAnsi="楷体" w:eastAsia="楷体" w:cs="楷体"/>
                <w:b w:val="0"/>
                <w:bCs/>
                <w:sz w:val="24"/>
                <w:szCs w:val="24"/>
                <w:lang w:eastAsia="zh-CN"/>
              </w:rPr>
              <w:t>（4）火灾事故发生为</w:t>
            </w:r>
            <w:r>
              <w:rPr>
                <w:rFonts w:hint="eastAsia" w:ascii="楷体" w:hAnsi="楷体" w:eastAsia="楷体" w:cs="楷体"/>
                <w:b w:val="0"/>
                <w:bCs/>
                <w:sz w:val="24"/>
                <w:szCs w:val="24"/>
                <w:lang w:val="en-US" w:eastAsia="zh-CN"/>
              </w:rPr>
              <w:t>0</w:t>
            </w:r>
            <w:r>
              <w:rPr>
                <w:rFonts w:hint="eastAsia" w:ascii="楷体" w:hAnsi="楷体" w:eastAsia="楷体" w:cs="楷体"/>
                <w:b w:val="0"/>
                <w:bCs/>
                <w:sz w:val="24"/>
                <w:szCs w:val="24"/>
                <w:lang w:eastAsia="zh-CN"/>
              </w:rPr>
              <w:t>。</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对公司环境、职业健康安全目标、指标予以分解，并在相关职能层次部门建立分目标，查见《环境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w:t>
            </w:r>
            <w:r>
              <w:rPr>
                <w:rFonts w:hint="eastAsia" w:ascii="楷体" w:hAnsi="楷体" w:eastAsia="楷体"/>
                <w:color w:val="000000"/>
                <w:sz w:val="24"/>
                <w:szCs w:val="24"/>
                <w:lang w:val="en-US" w:eastAsia="zh-CN"/>
              </w:rPr>
              <w:t>每季度考核，</w:t>
            </w:r>
            <w:r>
              <w:rPr>
                <w:rFonts w:hint="eastAsia" w:ascii="楷体" w:hAnsi="楷体" w:eastAsia="楷体"/>
                <w:color w:val="000000"/>
                <w:sz w:val="24"/>
                <w:szCs w:val="24"/>
              </w:rPr>
              <w:t>20</w:t>
            </w:r>
            <w:r>
              <w:rPr>
                <w:rFonts w:hint="eastAsia" w:ascii="楷体" w:hAnsi="楷体" w:eastAsia="楷体"/>
                <w:color w:val="000000"/>
                <w:sz w:val="24"/>
                <w:szCs w:val="24"/>
                <w:lang w:val="en-US" w:eastAsia="zh-CN"/>
              </w:rPr>
              <w:t>22.1.5</w:t>
            </w:r>
            <w:r>
              <w:rPr>
                <w:rFonts w:hint="eastAsia" w:ascii="楷体" w:hAnsi="楷体" w:eastAsia="楷体"/>
                <w:color w:val="000000"/>
                <w:sz w:val="24"/>
                <w:szCs w:val="24"/>
              </w:rPr>
              <w:t>完成情况：</w:t>
            </w:r>
          </w:p>
          <w:p>
            <w:pPr>
              <w:spacing w:line="360" w:lineRule="auto"/>
              <w:rPr>
                <w:rFonts w:hint="eastAsia" w:ascii="楷体" w:hAnsi="楷体" w:eastAsia="楷体"/>
                <w:sz w:val="24"/>
                <w:szCs w:val="24"/>
                <w:lang w:eastAsia="zh-CN"/>
              </w:rPr>
            </w:pPr>
            <w:r>
              <w:pict>
                <v:shape id="_x0000_i1025" o:spt="75" type="#_x0000_t75" style="height:253.85pt;width:488.9pt;" filled="f" stroked="f" coordsize="21600,21600">
                  <v:path/>
                  <v:fill on="f" focussize="0,0"/>
                  <v:stroke on="f"/>
                  <v:imagedata r:id="rId6" o:title=""/>
                  <o:lock v:ext="edit" aspectratio="t"/>
                  <w10:wrap type="none"/>
                  <w10:anchorlock/>
                </v:shape>
              </w:pict>
            </w:r>
            <w:r>
              <w:pict>
                <v:shape id="_x0000_i1026" o:spt="75" type="#_x0000_t75" style="height:112.4pt;width:489.05pt;" filled="f" stroked="f" coordsize="21600,21600">
                  <v:path/>
                  <v:fill on="f" focussize="0,0"/>
                  <v:stroke on="f"/>
                  <v:imagedata r:id="rId7"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邹敏峰</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楷体"/>
                <w:sz w:val="24"/>
                <w:lang w:val="en-US" w:eastAsia="zh-CN"/>
              </w:rPr>
              <w:t>廖玉丽</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21.7.25</w:t>
            </w:r>
            <w:r>
              <w:rPr>
                <w:rFonts w:hint="eastAsia" w:ascii="楷体" w:hAnsi="楷体" w:eastAsia="楷体"/>
                <w:sz w:val="24"/>
                <w:szCs w:val="24"/>
              </w:rPr>
              <w:t>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cs="楷体"/>
                <w:sz w:val="24"/>
                <w:lang w:val="en-US" w:eastAsia="zh-CN"/>
              </w:rPr>
              <w:t>何清鑫</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w:t>
            </w:r>
            <w:r>
              <w:rPr>
                <w:rFonts w:hint="eastAsia" w:ascii="楷体" w:hAnsi="楷体" w:eastAsia="楷体"/>
                <w:sz w:val="24"/>
                <w:szCs w:val="24"/>
                <w:lang w:val="en-US" w:eastAsia="zh-CN"/>
              </w:rPr>
              <w:t>上次审核不符合项的整改情况、</w:t>
            </w:r>
            <w:r>
              <w:rPr>
                <w:rFonts w:hint="eastAsia" w:ascii="楷体" w:hAnsi="楷体" w:eastAsia="楷体"/>
                <w:sz w:val="24"/>
                <w:szCs w:val="24"/>
              </w:rPr>
              <w:t>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提出了改进措施: 继续加强对标准及公司管理体系文件的学习和理解，提高全体员工的自身素质，努力提高日常工作的管理水平和贯标能力；及时掌握国家有关</w:t>
            </w:r>
            <w:r>
              <w:rPr>
                <w:rFonts w:hint="eastAsia" w:ascii="楷体" w:hAnsi="楷体" w:eastAsia="楷体" w:cs="楷体"/>
                <w:color w:val="auto"/>
                <w:sz w:val="24"/>
                <w:szCs w:val="24"/>
                <w:lang w:eastAsia="zh-CN"/>
              </w:rPr>
              <w:t>环境职业健康安全</w:t>
            </w:r>
            <w:r>
              <w:rPr>
                <w:rFonts w:hint="eastAsia" w:ascii="楷体" w:hAnsi="楷体" w:eastAsia="楷体" w:cs="楷体"/>
                <w:color w:val="auto"/>
                <w:sz w:val="24"/>
                <w:szCs w:val="24"/>
              </w:rPr>
              <w:t>方面法律法规和其它要求的变化情况。掌握这些变化对公司环境管理的影响，从而不断保证公司管理水平和产品、服务质量得到稳步提高。满足顾客要求，不断提高企业的经济效益和市场竞争能力。</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7" o:spt="75" alt="01.12" type="#_x0000_t75" style="height:166.95pt;width:118pt;" filled="f" o:preferrelative="t" stroked="f" coordsize="21600,21600">
                  <v:path/>
                  <v:fill on="f" focussize="0,0"/>
                  <v:stroke on="f"/>
                  <v:imagedata r:id="rId8" o:title="01.12"/>
                  <o:lock v:ext="edit" aspectratio="t"/>
                  <w10:wrap type="none"/>
                  <w10:anchorlock/>
                </v:shape>
              </w:pict>
            </w:r>
            <w:bookmarkStart w:id="1" w:name="_GoBack"/>
            <w:bookmarkEnd w:id="1"/>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w:t>
            </w:r>
            <w:r>
              <w:rPr>
                <w:rFonts w:hint="eastAsia" w:ascii="楷体" w:hAnsi="楷体" w:eastAsia="楷体"/>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cs="楷体"/>
                <w:b w:val="0"/>
                <w:bCs/>
                <w:sz w:val="24"/>
                <w:szCs w:val="24"/>
              </w:rPr>
              <w:t>标准/规范/法规的执行情况、上次审核不符合项的验证、认证证书、标志的使用情况、投诉或事故、监督抽查情况、体系变动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p>
            <w:pPr>
              <w:snapToGrid w:val="0"/>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上次审核开出的不符合项经现场验证，已经完成整改，符合要求。</w:t>
            </w:r>
          </w:p>
          <w:p>
            <w:pPr>
              <w:snapToGrid w:val="0"/>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sz w:val="24"/>
                <w:szCs w:val="24"/>
                <w:lang w:val="en-US" w:eastAsia="zh-CN"/>
              </w:rPr>
              <w:t>体系无变动，公司对注册地址和经营地址进行了变更：</w:t>
            </w:r>
            <w:r>
              <w:rPr>
                <w:rFonts w:hint="eastAsia" w:ascii="楷体" w:hAnsi="楷体" w:eastAsia="楷体" w:cs="楷体"/>
                <w:b w:val="0"/>
                <w:bCs/>
                <w:color w:val="000000" w:themeColor="text1"/>
                <w:sz w:val="24"/>
                <w:szCs w:val="24"/>
                <w:lang w:val="en-US" w:eastAsia="zh-CN"/>
              </w:rPr>
              <w:t>原：</w:t>
            </w:r>
            <w:r>
              <w:rPr>
                <w:rFonts w:hint="eastAsia" w:ascii="楷体" w:hAnsi="楷体" w:eastAsia="楷体" w:cs="楷体"/>
                <w:b w:val="0"/>
                <w:bCs/>
                <w:color w:val="000000" w:themeColor="text1"/>
                <w:sz w:val="24"/>
                <w:szCs w:val="24"/>
              </w:rPr>
              <w:t>江西省萍乡市芦溪县南坑镇团丰村工业园26号</w:t>
            </w:r>
            <w:r>
              <w:rPr>
                <w:rFonts w:hint="eastAsia" w:ascii="楷体" w:hAnsi="楷体" w:eastAsia="楷体" w:cs="楷体"/>
                <w:b w:val="0"/>
                <w:bCs/>
                <w:color w:val="000000" w:themeColor="text1"/>
                <w:sz w:val="24"/>
                <w:szCs w:val="24"/>
                <w:lang w:eastAsia="zh-CN"/>
              </w:rPr>
              <w:t>，</w:t>
            </w:r>
            <w:r>
              <w:rPr>
                <w:rFonts w:hint="eastAsia" w:ascii="楷体" w:hAnsi="楷体" w:eastAsia="楷体" w:cs="楷体"/>
                <w:sz w:val="24"/>
                <w:szCs w:val="24"/>
                <w:lang w:val="en-US" w:eastAsia="zh-CN"/>
              </w:rPr>
              <w:t>现：</w:t>
            </w:r>
            <w:r>
              <w:rPr>
                <w:rFonts w:hint="eastAsia" w:ascii="楷体" w:hAnsi="楷体" w:eastAsia="楷体" w:cs="楷体"/>
                <w:sz w:val="24"/>
                <w:szCs w:val="24"/>
              </w:rPr>
              <w:t>江西省萍乡市芦溪县上埠镇下源村工业区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法人代表进行了变更，原：王刚，现王善跃。</w:t>
            </w:r>
          </w:p>
          <w:p>
            <w:pPr>
              <w:snapToGrid w:val="0"/>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b w:val="0"/>
                <w:bCs/>
                <w:sz w:val="24"/>
                <w:szCs w:val="24"/>
              </w:rPr>
              <w:t>认证证书、标志的使用情况</w:t>
            </w:r>
            <w:r>
              <w:rPr>
                <w:rFonts w:hint="eastAsia" w:ascii="楷体" w:hAnsi="楷体" w:eastAsia="楷体" w:cs="楷体"/>
                <w:b w:val="0"/>
                <w:bCs/>
                <w:sz w:val="24"/>
                <w:szCs w:val="24"/>
                <w:lang w:eastAsia="zh-CN"/>
              </w:rPr>
              <w:t>：</w:t>
            </w:r>
            <w:r>
              <w:rPr>
                <w:rFonts w:hint="eastAsia" w:ascii="楷体" w:hAnsi="楷体" w:eastAsia="楷体"/>
                <w:sz w:val="24"/>
                <w:szCs w:val="24"/>
              </w:rPr>
              <w:t>在招投标和业务洽谈时出示认证证书，未使用认证标志。</w:t>
            </w:r>
          </w:p>
        </w:tc>
        <w:tc>
          <w:tcPr>
            <w:tcW w:w="1585" w:type="dxa"/>
          </w:tcPr>
          <w:p>
            <w:pPr>
              <w:spacing w:line="360" w:lineRule="auto"/>
              <w:rPr>
                <w:rFonts w:hint="eastAsia" w:ascii="楷体" w:hAnsi="楷体" w:eastAsia="楷体"/>
                <w:sz w:val="24"/>
                <w:szCs w:val="24"/>
                <w:lang w:val="en-US" w:eastAsia="zh-CN"/>
              </w:rPr>
            </w:pPr>
          </w:p>
        </w:tc>
      </w:tr>
    </w:tbl>
    <w:p>
      <w:pPr>
        <w:jc w:val="center"/>
        <w:rPr>
          <w:rFonts w:ascii="楷体" w:hAnsi="楷体" w:eastAsia="楷体"/>
        </w:rPr>
      </w:pPr>
      <w:r>
        <w:rPr>
          <w:rFonts w:ascii="楷体" w:hAnsi="楷体" w:eastAsia="楷体"/>
        </w:rPr>
        <w:br w:type="textWrapping" w:clear="all"/>
      </w:r>
    </w:p>
    <w:p>
      <w:pPr>
        <w:pStyle w:val="6"/>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0" o:spid="_x0000_s4100"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B5879BF"/>
    <w:rsid w:val="108219C2"/>
    <w:rsid w:val="224912F9"/>
    <w:rsid w:val="2BDC206F"/>
    <w:rsid w:val="37BD5E36"/>
    <w:rsid w:val="3F536CA6"/>
    <w:rsid w:val="40FF7AF4"/>
    <w:rsid w:val="49DA7DB0"/>
    <w:rsid w:val="4B8D09FE"/>
    <w:rsid w:val="5300563E"/>
    <w:rsid w:val="5C952EE7"/>
    <w:rsid w:val="5EA12B9A"/>
    <w:rsid w:val="6E5552D1"/>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firstLineChars="200"/>
    </w:pPr>
    <w:rPr>
      <w:szCs w:val="20"/>
    </w:rPr>
  </w:style>
  <w:style w:type="paragraph" w:styleId="4">
    <w:name w:val="Body Text Indent 2"/>
    <w:basedOn w:val="1"/>
    <w:qFormat/>
    <w:uiPriority w:val="0"/>
    <w:pPr>
      <w:spacing w:line="380" w:lineRule="exact"/>
      <w:ind w:firstLine="560" w:firstLineChars="200"/>
    </w:pPr>
    <w:rPr>
      <w:color w:val="FF0000"/>
      <w:sz w:val="28"/>
      <w:szCs w:val="20"/>
    </w:rPr>
  </w:style>
  <w:style w:type="paragraph" w:styleId="5">
    <w:name w:val="Balloon Text"/>
    <w:basedOn w:val="1"/>
    <w:link w:val="10"/>
    <w:semiHidden/>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link w:val="5"/>
    <w:semiHidden/>
    <w:qFormat/>
    <w:locked/>
    <w:uiPriority w:val="99"/>
    <w:rPr>
      <w:rFonts w:ascii="Times New Roman" w:hAnsi="Times New Roman" w:eastAsia="宋体" w:cs="Times New Roman"/>
      <w:sz w:val="18"/>
      <w:szCs w:val="18"/>
    </w:rPr>
  </w:style>
  <w:style w:type="character" w:customStyle="1" w:styleId="11">
    <w:name w:val="页脚 Char"/>
    <w:link w:val="6"/>
    <w:qFormat/>
    <w:locked/>
    <w:uiPriority w:val="99"/>
    <w:rPr>
      <w:rFonts w:ascii="Times New Roman" w:hAnsi="Times New Roman" w:eastAsia="宋体" w:cs="Times New Roman"/>
      <w:sz w:val="18"/>
      <w:szCs w:val="18"/>
    </w:rPr>
  </w:style>
  <w:style w:type="character" w:customStyle="1" w:styleId="12">
    <w:name w:val="页眉 Char"/>
    <w:link w:val="7"/>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fontstyle01"/>
    <w:qFormat/>
    <w:uiPriority w:val="99"/>
    <w:rPr>
      <w:rFonts w:ascii="宋体" w:hAnsi="宋体" w:eastAsia="宋体" w:cs="Times New Roman"/>
      <w:color w:val="000000"/>
      <w:sz w:val="24"/>
      <w:szCs w:val="24"/>
    </w:rPr>
  </w:style>
  <w:style w:type="character" w:customStyle="1" w:styleId="15">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5</TotalTime>
  <ScaleCrop>false</ScaleCrop>
  <LinksUpToDate>false</LinksUpToDate>
  <CharactersWithSpaces>7097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2022-03-19T01:08:58Z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60C8CB90324C4D5CA070CC097AF2FBE4</vt:lpwstr>
  </property>
</Properties>
</file>