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rPr>
            </w:pPr>
            <w:r>
              <w:rPr>
                <w:rFonts w:hint="eastAsia"/>
                <w:sz w:val="24"/>
              </w:rPr>
              <w:t>过程与活动、</w:t>
            </w:r>
          </w:p>
          <w:p>
            <w:pPr>
              <w:spacing w:line="360" w:lineRule="auto"/>
              <w:jc w:val="center"/>
              <w:rPr>
                <w:sz w:val="24"/>
              </w:rPr>
            </w:pPr>
            <w:r>
              <w:rPr>
                <w:rFonts w:hint="eastAsia"/>
                <w:sz w:val="24"/>
              </w:rPr>
              <w:t>抽样计划</w:t>
            </w:r>
          </w:p>
        </w:tc>
        <w:tc>
          <w:tcPr>
            <w:tcW w:w="960" w:type="dxa"/>
            <w:vMerge w:val="restart"/>
            <w:vAlign w:val="center"/>
          </w:tcPr>
          <w:p>
            <w:pPr>
              <w:spacing w:line="360" w:lineRule="auto"/>
              <w:rPr>
                <w:sz w:val="24"/>
              </w:rPr>
            </w:pPr>
            <w:r>
              <w:rPr>
                <w:rFonts w:hint="eastAsia"/>
                <w:sz w:val="24"/>
              </w:rPr>
              <w:t>涉及</w:t>
            </w:r>
          </w:p>
          <w:p>
            <w:pPr>
              <w:spacing w:line="360" w:lineRule="auto"/>
              <w:rPr>
                <w:sz w:val="24"/>
              </w:rPr>
            </w:pPr>
            <w:r>
              <w:rPr>
                <w:rFonts w:hint="eastAsia"/>
                <w:sz w:val="24"/>
              </w:rPr>
              <w:t>条款</w:t>
            </w:r>
          </w:p>
        </w:tc>
        <w:tc>
          <w:tcPr>
            <w:tcW w:w="10004" w:type="dxa"/>
            <w:vAlign w:val="center"/>
          </w:tcPr>
          <w:p>
            <w:pPr>
              <w:spacing w:line="360" w:lineRule="auto"/>
              <w:rPr>
                <w:sz w:val="24"/>
              </w:rPr>
            </w:pPr>
            <w:r>
              <w:rPr>
                <w:rFonts w:hint="eastAsia"/>
                <w:sz w:val="24"/>
              </w:rPr>
              <w:t>受审核部门：</w:t>
            </w:r>
            <w:r>
              <w:rPr>
                <w:rFonts w:hint="eastAsia"/>
                <w:sz w:val="24"/>
                <w:lang w:val="en-US" w:eastAsia="zh-CN"/>
              </w:rPr>
              <w:t>领导层</w:t>
            </w:r>
            <w:r>
              <w:rPr>
                <w:sz w:val="24"/>
              </w:rPr>
              <w:t xml:space="preserve">         </w:t>
            </w:r>
            <w:r>
              <w:rPr>
                <w:rFonts w:hint="eastAsia"/>
                <w:sz w:val="24"/>
              </w:rPr>
              <w:t>主管领导：</w:t>
            </w:r>
            <w:bookmarkStart w:id="0" w:name="法人"/>
            <w:r>
              <w:t>沈晓明</w:t>
            </w:r>
            <w:bookmarkEnd w:id="0"/>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 xml:space="preserve">陪同人员： </w:t>
            </w:r>
            <w:r>
              <w:rPr>
                <w:rFonts w:hint="eastAsia" w:cs="Times New Roman" w:asciiTheme="majorEastAsia" w:hAnsiTheme="majorEastAsia" w:eastAsiaTheme="majorEastAsia"/>
                <w:sz w:val="24"/>
                <w:szCs w:val="24"/>
              </w:rPr>
              <w:t>骆</w:t>
            </w:r>
            <w:r>
              <w:rPr>
                <w:rFonts w:cs="Times New Roman" w:asciiTheme="majorEastAsia" w:hAnsiTheme="majorEastAsia" w:eastAsiaTheme="majorEastAsia"/>
                <w:sz w:val="24"/>
                <w:szCs w:val="24"/>
              </w:rPr>
              <w:t>智超</w:t>
            </w:r>
            <w:r>
              <w:rPr>
                <w:rFonts w:hint="eastAsia"/>
                <w:sz w:val="24"/>
              </w:rPr>
              <w:t xml:space="preserve"> </w:t>
            </w:r>
          </w:p>
        </w:tc>
        <w:tc>
          <w:tcPr>
            <w:tcW w:w="1585" w:type="dxa"/>
            <w:vMerge w:val="restart"/>
            <w:vAlign w:val="center"/>
          </w:tcPr>
          <w:p>
            <w:pPr>
              <w:spacing w:line="360" w:lineRule="auto"/>
              <w:rPr>
                <w:sz w:val="24"/>
              </w:rPr>
            </w:pPr>
            <w:r>
              <w:rPr>
                <w:rFonts w:hint="eastAsia"/>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4"/>
              </w:rPr>
            </w:pPr>
          </w:p>
        </w:tc>
        <w:tc>
          <w:tcPr>
            <w:tcW w:w="960" w:type="dxa"/>
            <w:vMerge w:val="continue"/>
            <w:vAlign w:val="center"/>
          </w:tcPr>
          <w:p>
            <w:pPr>
              <w:spacing w:line="360" w:lineRule="auto"/>
              <w:rPr>
                <w:sz w:val="24"/>
              </w:rPr>
            </w:pPr>
          </w:p>
        </w:tc>
        <w:tc>
          <w:tcPr>
            <w:tcW w:w="10004" w:type="dxa"/>
            <w:vAlign w:val="center"/>
          </w:tcPr>
          <w:p>
            <w:pPr>
              <w:spacing w:before="120" w:line="360" w:lineRule="auto"/>
              <w:rPr>
                <w:sz w:val="24"/>
              </w:rPr>
            </w:pPr>
            <w:r>
              <w:rPr>
                <w:rFonts w:hint="eastAsia"/>
                <w:sz w:val="24"/>
              </w:rPr>
              <w:t>审核员：</w:t>
            </w:r>
            <w:r>
              <w:rPr>
                <w:rFonts w:hint="eastAsia"/>
                <w:sz w:val="24"/>
                <w:lang w:val="en-US" w:eastAsia="zh-CN"/>
              </w:rPr>
              <w:t>郭力</w:t>
            </w:r>
            <w:r>
              <w:rPr>
                <w:sz w:val="24"/>
              </w:rPr>
              <w:t xml:space="preserve">                </w:t>
            </w:r>
            <w:r>
              <w:rPr>
                <w:rFonts w:hint="eastAsia"/>
                <w:sz w:val="24"/>
              </w:rPr>
              <w:t>审核时间：20</w:t>
            </w:r>
            <w:r>
              <w:rPr>
                <w:rFonts w:hint="eastAsia"/>
                <w:sz w:val="24"/>
                <w:lang w:val="en-US" w:eastAsia="zh-CN"/>
              </w:rPr>
              <w:t>22</w:t>
            </w:r>
            <w:r>
              <w:rPr>
                <w:rFonts w:hint="eastAsia"/>
                <w:sz w:val="24"/>
              </w:rPr>
              <w:t>年</w:t>
            </w:r>
            <w:r>
              <w:rPr>
                <w:rFonts w:hint="eastAsia"/>
                <w:sz w:val="24"/>
                <w:lang w:val="en-US" w:eastAsia="zh-CN"/>
              </w:rPr>
              <w:t>03</w:t>
            </w:r>
            <w:r>
              <w:rPr>
                <w:rFonts w:hint="eastAsia"/>
                <w:sz w:val="24"/>
              </w:rPr>
              <w:t>月</w:t>
            </w:r>
            <w:r>
              <w:rPr>
                <w:rFonts w:hint="eastAsia"/>
                <w:sz w:val="24"/>
                <w:lang w:val="en-US" w:eastAsia="zh-CN"/>
              </w:rPr>
              <w:t>23</w:t>
            </w:r>
            <w:r>
              <w:rPr>
                <w:rFonts w:hint="eastAsia"/>
                <w:sz w:val="24"/>
              </w:rPr>
              <w:t>日</w:t>
            </w:r>
          </w:p>
        </w:tc>
        <w:tc>
          <w:tcPr>
            <w:tcW w:w="1585" w:type="dxa"/>
            <w:vMerge w:val="continue"/>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rPr>
            </w:pPr>
          </w:p>
        </w:tc>
        <w:tc>
          <w:tcPr>
            <w:tcW w:w="960" w:type="dxa"/>
            <w:vMerge w:val="continue"/>
            <w:vAlign w:val="center"/>
          </w:tcPr>
          <w:p>
            <w:pPr>
              <w:spacing w:line="360" w:lineRule="auto"/>
              <w:rPr>
                <w:sz w:val="24"/>
              </w:rPr>
            </w:pPr>
          </w:p>
        </w:tc>
        <w:tc>
          <w:tcPr>
            <w:tcW w:w="10004" w:type="dxa"/>
            <w:vAlign w:val="center"/>
          </w:tcPr>
          <w:p>
            <w:pPr>
              <w:spacing w:line="360" w:lineRule="auto"/>
            </w:pPr>
            <w:r>
              <w:rPr>
                <w:rFonts w:hint="eastAsia"/>
              </w:rPr>
              <w:t>审核条款：</w:t>
            </w:r>
          </w:p>
          <w:p>
            <w:pPr>
              <w:snapToGrid w:val="0"/>
              <w:spacing w:line="360" w:lineRule="auto"/>
              <w:jc w:val="left"/>
              <w:rPr>
                <w:rFonts w:hint="eastAsia"/>
                <w:lang w:val="en-US" w:eastAsia="zh-CN"/>
              </w:rPr>
            </w:pPr>
            <w:r>
              <w:rPr>
                <w:rFonts w:hint="eastAsia"/>
              </w:rPr>
              <w:t>QMS：</w:t>
            </w:r>
            <w:r>
              <w:rPr>
                <w:rFonts w:hint="eastAsia"/>
                <w:lang w:eastAsia="zh-CN"/>
              </w:rPr>
              <w:t>4.1</w:t>
            </w:r>
            <w:r>
              <w:rPr>
                <w:rFonts w:hint="eastAsia"/>
                <w:lang w:val="en-US" w:eastAsia="zh-CN"/>
              </w:rPr>
              <w:t>/</w:t>
            </w:r>
            <w:r>
              <w:rPr>
                <w:rFonts w:hint="eastAsia"/>
                <w:lang w:eastAsia="zh-CN"/>
              </w:rPr>
              <w:t xml:space="preserve"> 4.2 </w:t>
            </w:r>
            <w:r>
              <w:rPr>
                <w:rFonts w:hint="eastAsia"/>
                <w:lang w:val="en-US" w:eastAsia="zh-CN"/>
              </w:rPr>
              <w:t>/</w:t>
            </w:r>
            <w:r>
              <w:rPr>
                <w:rFonts w:hint="eastAsia"/>
                <w:lang w:eastAsia="zh-CN"/>
              </w:rPr>
              <w:t xml:space="preserve">4.3 </w:t>
            </w:r>
            <w:r>
              <w:rPr>
                <w:rFonts w:hint="eastAsia"/>
                <w:lang w:val="en-US" w:eastAsia="zh-CN"/>
              </w:rPr>
              <w:t>/</w:t>
            </w:r>
            <w:r>
              <w:rPr>
                <w:rFonts w:hint="eastAsia"/>
                <w:lang w:eastAsia="zh-CN"/>
              </w:rPr>
              <w:t xml:space="preserve">4.4 </w:t>
            </w:r>
            <w:r>
              <w:rPr>
                <w:lang w:eastAsia="zh-CN"/>
              </w:rPr>
              <w:t>5.1</w:t>
            </w:r>
            <w:r>
              <w:rPr>
                <w:rFonts w:hint="eastAsia"/>
                <w:lang w:val="en-US" w:eastAsia="zh-CN"/>
              </w:rPr>
              <w:t>/</w:t>
            </w:r>
            <w:r>
              <w:rPr>
                <w:lang w:eastAsia="zh-CN"/>
              </w:rPr>
              <w:t>5.2</w:t>
            </w:r>
            <w:r>
              <w:rPr>
                <w:rFonts w:hint="eastAsia"/>
                <w:lang w:val="en-US" w:eastAsia="zh-CN"/>
              </w:rPr>
              <w:t>/</w:t>
            </w:r>
            <w:r>
              <w:rPr>
                <w:lang w:eastAsia="zh-CN"/>
              </w:rPr>
              <w:t>5.3</w:t>
            </w:r>
            <w:r>
              <w:rPr>
                <w:rFonts w:hint="eastAsia"/>
                <w:lang w:val="en-US" w:eastAsia="zh-CN"/>
              </w:rPr>
              <w:t>/6.1/6.2/</w:t>
            </w:r>
            <w:r>
              <w:rPr>
                <w:lang w:eastAsia="zh-CN"/>
              </w:rPr>
              <w:t>6.3</w:t>
            </w:r>
            <w:r>
              <w:rPr>
                <w:rFonts w:hint="eastAsia"/>
                <w:lang w:val="en-US" w:eastAsia="zh-CN"/>
              </w:rPr>
              <w:t>/</w:t>
            </w:r>
            <w:r>
              <w:rPr>
                <w:lang w:eastAsia="zh-CN"/>
              </w:rPr>
              <w:t>7</w:t>
            </w:r>
            <w:r>
              <w:rPr>
                <w:rFonts w:hint="eastAsia"/>
                <w:lang w:val="en-US" w:eastAsia="zh-CN"/>
              </w:rPr>
              <w:t>.1.1/7.1.6/7.4/9.1.1/9.1.3/9.3/10.1/10.3</w:t>
            </w:r>
          </w:p>
          <w:p>
            <w:pPr>
              <w:spacing w:line="360" w:lineRule="auto"/>
              <w:rPr>
                <w:rFonts w:hint="default" w:eastAsia="宋体"/>
                <w:lang w:val="en-US" w:eastAsia="zh-CN"/>
              </w:rPr>
            </w:pPr>
            <w:r>
              <w:rPr>
                <w:rFonts w:hint="eastAsia" w:ascii="宋体" w:hAnsi="宋体" w:eastAsia="宋体" w:cs="宋体"/>
                <w:sz w:val="21"/>
                <w:szCs w:val="21"/>
              </w:rPr>
              <w:t>资质验证/范围再确认/</w:t>
            </w:r>
            <w:r>
              <w:rPr>
                <w:rFonts w:hint="eastAsia" w:ascii="宋体" w:hAnsi="宋体" w:cs="宋体"/>
                <w:sz w:val="21"/>
                <w:szCs w:val="21"/>
                <w:lang w:val="en-US" w:eastAsia="zh-CN"/>
              </w:rPr>
              <w:t>上次</w:t>
            </w:r>
            <w:r>
              <w:rPr>
                <w:rFonts w:hint="eastAsia" w:ascii="宋体" w:hAnsi="宋体" w:eastAsia="宋体" w:cs="宋体"/>
                <w:sz w:val="21"/>
                <w:szCs w:val="21"/>
                <w:lang w:val="en-US" w:eastAsia="zh-CN"/>
              </w:rPr>
              <w:t>审核</w:t>
            </w:r>
            <w:r>
              <w:rPr>
                <w:rFonts w:hint="eastAsia" w:ascii="宋体" w:hAnsi="宋体" w:eastAsia="宋体" w:cs="宋体"/>
                <w:sz w:val="21"/>
                <w:szCs w:val="21"/>
              </w:rPr>
              <w:t>问题验证/</w:t>
            </w:r>
            <w:r>
              <w:rPr>
                <w:rFonts w:hint="eastAsia" w:ascii="宋体" w:hAnsi="宋体"/>
                <w:color w:val="000000" w:themeColor="text1"/>
                <w:szCs w:val="21"/>
                <w:lang w:val="en-US" w:eastAsia="zh-CN"/>
                <w14:textFill>
                  <w14:solidFill>
                    <w14:schemeClr w14:val="tx1"/>
                  </w14:solidFill>
                </w14:textFill>
              </w:rPr>
              <w:t>证书标识使用情况/</w:t>
            </w:r>
            <w:r>
              <w:rPr>
                <w:rFonts w:hint="eastAsia" w:ascii="宋体" w:hAnsi="宋体" w:eastAsia="宋体" w:cs="宋体"/>
                <w:sz w:val="21"/>
                <w:szCs w:val="21"/>
              </w:rPr>
              <w:t>投诉或事故/政府主管部门监督抽查情况</w:t>
            </w:r>
          </w:p>
        </w:tc>
        <w:tc>
          <w:tcPr>
            <w:tcW w:w="1585" w:type="dxa"/>
            <w:vMerge w:val="continue"/>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spacing w:line="360" w:lineRule="auto"/>
              <w:rPr>
                <w:rFonts w:hint="default" w:eastAsia="宋体"/>
                <w:sz w:val="24"/>
                <w:lang w:val="en-US" w:eastAsia="zh-CN"/>
              </w:rPr>
            </w:pPr>
            <w:r>
              <w:rPr>
                <w:rFonts w:hint="eastAsia"/>
                <w:sz w:val="24"/>
                <w:lang w:val="en-US" w:eastAsia="zh-CN"/>
              </w:rPr>
              <w:t>理解组织及环境</w:t>
            </w:r>
          </w:p>
        </w:tc>
        <w:tc>
          <w:tcPr>
            <w:tcW w:w="960" w:type="dxa"/>
          </w:tcPr>
          <w:p>
            <w:pPr>
              <w:spacing w:line="360" w:lineRule="auto"/>
              <w:rPr>
                <w:rFonts w:hint="default" w:eastAsia="宋体"/>
                <w:sz w:val="24"/>
                <w:lang w:val="en-US" w:eastAsia="zh-CN"/>
              </w:rPr>
            </w:pPr>
            <w:r>
              <w:rPr>
                <w:rFonts w:hint="eastAsia"/>
                <w:sz w:val="24"/>
                <w:lang w:val="en-US" w:eastAsia="zh-CN"/>
              </w:rPr>
              <w:t>Q4.1</w:t>
            </w:r>
          </w:p>
        </w:tc>
        <w:tc>
          <w:tcPr>
            <w:tcW w:w="10004" w:type="dxa"/>
          </w:tcPr>
          <w:p>
            <w:pPr>
              <w:spacing w:line="360" w:lineRule="auto"/>
              <w:rPr>
                <w:rFonts w:hint="default" w:ascii="宋体" w:hAnsi="宋体" w:eastAsia="宋体"/>
                <w:lang w:val="en-US" w:eastAsia="zh-CN"/>
              </w:rPr>
            </w:pPr>
            <w:r>
              <w:rPr>
                <w:rFonts w:hint="eastAsia" w:ascii="宋体" w:hAnsi="宋体"/>
              </w:rPr>
              <w:t xml:space="preserve">总经理: </w:t>
            </w:r>
            <w:r>
              <w:t>沈晓明</w:t>
            </w:r>
          </w:p>
          <w:p>
            <w:pPr>
              <w:spacing w:line="360" w:lineRule="auto"/>
              <w:rPr>
                <w:rFonts w:hint="eastAsia" w:eastAsia="宋体"/>
                <w:lang w:val="en-US" w:eastAsia="zh-CN"/>
              </w:rPr>
            </w:pPr>
            <w:r>
              <w:rPr>
                <w:rFonts w:hint="eastAsia" w:ascii="宋体" w:hAnsi="宋体"/>
              </w:rPr>
              <w:t xml:space="preserve">管理者代表: </w:t>
            </w:r>
            <w:r>
              <w:t>沈晓明</w:t>
            </w:r>
            <w:r>
              <w:rPr>
                <w:rFonts w:hint="eastAsia" w:ascii="宋体" w:hAnsi="宋体"/>
              </w:rPr>
              <w:t>，知晓除本身工作职责外，管理体系还赋予其职责和权限, 持续保持管理体系运行的有效性。 公司成立于</w:t>
            </w:r>
            <w:r>
              <w:rPr>
                <w:rFonts w:hint="eastAsia" w:ascii="宋体" w:hAnsi="宋体"/>
                <w:lang w:val="en-US" w:eastAsia="zh-CN"/>
              </w:rPr>
              <w:t>2005</w:t>
            </w:r>
            <w:r>
              <w:rPr>
                <w:rFonts w:hint="eastAsia" w:ascii="宋体" w:hAnsi="宋体"/>
              </w:rPr>
              <w:t>年 ,</w:t>
            </w:r>
            <w:r>
              <w:rPr>
                <w:rFonts w:hint="eastAsia"/>
              </w:rPr>
              <w:t xml:space="preserve"> 专业</w:t>
            </w:r>
            <w:r>
              <w:rPr>
                <w:rFonts w:hint="eastAsia"/>
                <w:lang w:val="en-US" w:eastAsia="zh-CN"/>
              </w:rPr>
              <w:t>生产</w:t>
            </w:r>
            <w:bookmarkStart w:id="1" w:name="审核范围"/>
            <w:r>
              <w:rPr>
                <w:rFonts w:hint="eastAsia" w:ascii="宋体" w:hAnsi="宋体"/>
                <w:szCs w:val="21"/>
              </w:rPr>
              <w:t>工业自动化工程设计、安装；电脑外设及耗材、监控设备的销售</w:t>
            </w:r>
            <w:bookmarkEnd w:id="1"/>
            <w:r>
              <w:rPr>
                <w:rFonts w:hint="eastAsia" w:ascii="宋体" w:hAnsi="宋体"/>
                <w:szCs w:val="21"/>
                <w:lang w:val="en-US" w:eastAsia="zh-CN"/>
              </w:rPr>
              <w:t>.</w:t>
            </w:r>
          </w:p>
          <w:p>
            <w:pPr>
              <w:spacing w:line="360" w:lineRule="auto"/>
              <w:rPr>
                <w:rFonts w:hint="default" w:eastAsia="宋体"/>
                <w:szCs w:val="21"/>
                <w:lang w:val="en-US" w:eastAsia="zh-CN"/>
              </w:rPr>
            </w:pPr>
            <w:r>
              <w:rPr>
                <w:rFonts w:hint="eastAsia"/>
                <w:szCs w:val="21"/>
                <w:lang w:val="en-US" w:eastAsia="zh-CN"/>
              </w:rPr>
              <w:t>查</w:t>
            </w:r>
            <w:r>
              <w:rPr>
                <w:rFonts w:hint="eastAsia"/>
                <w:szCs w:val="21"/>
              </w:rPr>
              <w:t>《组织内外部环境因素识别表》</w:t>
            </w:r>
            <w:r>
              <w:rPr>
                <w:rFonts w:hint="eastAsia"/>
                <w:szCs w:val="21"/>
                <w:lang w:eastAsia="zh-CN"/>
              </w:rPr>
              <w:t>，</w:t>
            </w:r>
            <w:r>
              <w:rPr>
                <w:rFonts w:hint="eastAsia"/>
                <w:szCs w:val="21"/>
                <w:lang w:val="en-US" w:eastAsia="zh-CN"/>
              </w:rPr>
              <w:t>分析了组织相关的内外部因素：</w:t>
            </w:r>
          </w:p>
          <w:p>
            <w:pPr>
              <w:spacing w:line="360" w:lineRule="auto"/>
              <w:rPr>
                <w:rFonts w:hint="eastAsia" w:eastAsia="宋体"/>
                <w:szCs w:val="21"/>
                <w:lang w:val="en-US" w:eastAsia="zh-CN"/>
              </w:rPr>
            </w:pPr>
            <w:r>
              <w:rPr>
                <w:szCs w:val="21"/>
              </w:rPr>
              <w:t>内部因素</w:t>
            </w:r>
            <w:r>
              <w:rPr>
                <w:rFonts w:hint="eastAsia"/>
                <w:szCs w:val="21"/>
              </w:rPr>
              <w:t>：</w:t>
            </w:r>
            <w:r>
              <w:rPr>
                <w:rFonts w:hint="eastAsia" w:ascii="宋体" w:hAnsi="宋体"/>
                <w:szCs w:val="21"/>
              </w:rPr>
              <w:t>■</w:t>
            </w:r>
            <w:r>
              <w:rPr>
                <w:rFonts w:hint="eastAsia"/>
                <w:szCs w:val="21"/>
                <w:lang w:val="en-US" w:eastAsia="zh-CN"/>
              </w:rPr>
              <w:t>企业文化</w:t>
            </w:r>
            <w:r>
              <w:rPr>
                <w:rFonts w:hint="eastAsia"/>
                <w:szCs w:val="21"/>
              </w:rPr>
              <w:t>；</w:t>
            </w:r>
            <w:r>
              <w:rPr>
                <w:rFonts w:hint="eastAsia" w:ascii="宋体" w:hAnsi="宋体"/>
                <w:szCs w:val="21"/>
              </w:rPr>
              <w:t>■</w:t>
            </w:r>
            <w:r>
              <w:rPr>
                <w:rFonts w:hint="eastAsia" w:ascii="宋体" w:hAnsi="宋体"/>
                <w:szCs w:val="21"/>
                <w:lang w:val="en-US" w:eastAsia="zh-CN"/>
              </w:rPr>
              <w:t>技术能力</w:t>
            </w:r>
            <w:r>
              <w:rPr>
                <w:rFonts w:hint="eastAsia"/>
                <w:szCs w:val="21"/>
              </w:rPr>
              <w:t>；</w:t>
            </w:r>
            <w:r>
              <w:rPr>
                <w:rFonts w:hint="eastAsia" w:ascii="宋体" w:hAnsi="宋体"/>
                <w:szCs w:val="21"/>
              </w:rPr>
              <w:t>■</w:t>
            </w:r>
            <w:r>
              <w:rPr>
                <w:rFonts w:hint="eastAsia"/>
                <w:szCs w:val="21"/>
                <w:lang w:val="en-US" w:eastAsia="zh-CN"/>
              </w:rPr>
              <w:t>设备资源因素</w:t>
            </w:r>
            <w:r>
              <w:rPr>
                <w:rFonts w:hint="eastAsia"/>
                <w:szCs w:val="21"/>
              </w:rPr>
              <w:t>；</w:t>
            </w:r>
            <w:r>
              <w:rPr>
                <w:rFonts w:hint="eastAsia" w:ascii="宋体" w:hAnsi="宋体"/>
                <w:szCs w:val="21"/>
              </w:rPr>
              <w:t>■</w:t>
            </w:r>
            <w:r>
              <w:rPr>
                <w:rFonts w:hint="eastAsia" w:ascii="宋体" w:hAnsi="宋体"/>
                <w:szCs w:val="21"/>
                <w:lang w:val="en-US" w:eastAsia="zh-CN"/>
              </w:rPr>
              <w:t>人力环境</w:t>
            </w:r>
            <w:r>
              <w:rPr>
                <w:rFonts w:hint="eastAsia"/>
                <w:szCs w:val="21"/>
              </w:rPr>
              <w:t>；</w:t>
            </w:r>
            <w:r>
              <w:rPr>
                <w:rFonts w:hint="eastAsia" w:ascii="宋体" w:hAnsi="宋体"/>
                <w:szCs w:val="21"/>
              </w:rPr>
              <w:t>■</w:t>
            </w:r>
            <w:r>
              <w:rPr>
                <w:rFonts w:hint="eastAsia" w:ascii="宋体" w:hAnsi="宋体"/>
                <w:szCs w:val="21"/>
                <w:lang w:val="en-US" w:eastAsia="zh-CN"/>
              </w:rPr>
              <w:t>执行力</w:t>
            </w:r>
          </w:p>
          <w:p>
            <w:pPr>
              <w:spacing w:line="360" w:lineRule="auto"/>
              <w:rPr>
                <w:rFonts w:hint="default" w:eastAsia="宋体"/>
                <w:lang w:val="en-US" w:eastAsia="zh-CN"/>
              </w:rPr>
            </w:pPr>
            <w:r>
              <w:rPr>
                <w:rFonts w:hint="eastAsia"/>
                <w:szCs w:val="21"/>
              </w:rPr>
              <w:t>外部因素：</w:t>
            </w:r>
            <w:r>
              <w:rPr>
                <w:rFonts w:hint="eastAsia" w:ascii="宋体" w:hAnsi="宋体"/>
                <w:szCs w:val="21"/>
              </w:rPr>
              <w:t>■</w:t>
            </w:r>
            <w:r>
              <w:rPr>
                <w:rFonts w:hint="eastAsia" w:ascii="宋体" w:hAnsi="宋体"/>
                <w:szCs w:val="21"/>
                <w:lang w:val="en-US" w:eastAsia="zh-CN"/>
              </w:rPr>
              <w:t>政治因素</w:t>
            </w:r>
            <w:r>
              <w:rPr>
                <w:rFonts w:hint="eastAsia"/>
                <w:szCs w:val="21"/>
              </w:rPr>
              <w:t>；</w:t>
            </w:r>
            <w:r>
              <w:rPr>
                <w:rFonts w:hint="eastAsia" w:ascii="宋体" w:hAnsi="宋体"/>
                <w:szCs w:val="21"/>
              </w:rPr>
              <w:t>■</w:t>
            </w:r>
            <w:r>
              <w:rPr>
                <w:rFonts w:hint="eastAsia" w:ascii="宋体" w:hAnsi="宋体"/>
                <w:szCs w:val="21"/>
                <w:lang w:val="en-US" w:eastAsia="zh-CN"/>
              </w:rPr>
              <w:t>技术因素</w:t>
            </w:r>
            <w:r>
              <w:rPr>
                <w:rFonts w:hint="eastAsia"/>
                <w:szCs w:val="21"/>
              </w:rPr>
              <w:t>；</w:t>
            </w:r>
            <w:r>
              <w:rPr>
                <w:rFonts w:hint="eastAsia" w:ascii="宋体" w:hAnsi="宋体"/>
                <w:szCs w:val="21"/>
              </w:rPr>
              <w:t>■</w:t>
            </w:r>
            <w:r>
              <w:rPr>
                <w:rFonts w:hint="eastAsia" w:ascii="宋体" w:hAnsi="宋体"/>
                <w:szCs w:val="21"/>
                <w:lang w:val="en-US" w:eastAsia="zh-CN"/>
              </w:rPr>
              <w:t>法律法规因素</w:t>
            </w:r>
          </w:p>
        </w:tc>
        <w:tc>
          <w:tcPr>
            <w:tcW w:w="1585" w:type="dxa"/>
          </w:tcPr>
          <w:p>
            <w:pPr>
              <w:spacing w:line="360" w:lineRule="auto"/>
              <w:rPr>
                <w:rFonts w:hint="eastAsia" w:eastAsia="宋体"/>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tcPr>
          <w:p>
            <w:pPr>
              <w:spacing w:line="360" w:lineRule="auto"/>
              <w:rPr>
                <w:rFonts w:hint="eastAsia"/>
                <w:sz w:val="24"/>
                <w:lang w:val="en-US" w:eastAsia="zh-CN"/>
              </w:rPr>
            </w:pPr>
            <w:r>
              <w:rPr>
                <w:rFonts w:hint="eastAsia"/>
                <w:szCs w:val="21"/>
              </w:rPr>
              <w:t>相关方需求和期望</w:t>
            </w:r>
          </w:p>
        </w:tc>
        <w:tc>
          <w:tcPr>
            <w:tcW w:w="960" w:type="dxa"/>
          </w:tcPr>
          <w:p>
            <w:pPr>
              <w:spacing w:line="360" w:lineRule="auto"/>
              <w:rPr>
                <w:rFonts w:hint="default"/>
                <w:sz w:val="24"/>
                <w:lang w:val="en-US" w:eastAsia="zh-CN"/>
              </w:rPr>
            </w:pPr>
            <w:r>
              <w:rPr>
                <w:rFonts w:hint="eastAsia"/>
                <w:sz w:val="24"/>
                <w:lang w:val="en-US" w:eastAsia="zh-CN"/>
              </w:rPr>
              <w:t>Q4.2</w:t>
            </w:r>
          </w:p>
        </w:tc>
        <w:tc>
          <w:tcPr>
            <w:tcW w:w="10004" w:type="dxa"/>
          </w:tcPr>
          <w:p>
            <w:pPr>
              <w:spacing w:line="360" w:lineRule="auto"/>
              <w:rPr>
                <w:rFonts w:hint="eastAsia"/>
                <w:sz w:val="24"/>
                <w:lang w:val="en-US" w:eastAsia="zh-CN"/>
              </w:rPr>
            </w:pPr>
            <w:r>
              <w:rPr>
                <w:rFonts w:hint="eastAsia" w:ascii="宋体" w:hAnsi="宋体"/>
                <w:sz w:val="24"/>
                <w:lang w:val="en-US" w:eastAsia="zh-CN"/>
              </w:rPr>
              <w:t>公司相关方包括：顾客、供方、员工、周边企业、审核机构、公司经营者、政府机构。查《相关方的需求和期望清单》，明确写明相关方的需求和期望，公司监测的指标或项目以及监测部门和频率。</w:t>
            </w:r>
          </w:p>
        </w:tc>
        <w:tc>
          <w:tcPr>
            <w:tcW w:w="1585" w:type="dxa"/>
          </w:tcPr>
          <w:p>
            <w:pPr>
              <w:spacing w:line="360" w:lineRule="auto"/>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spacing w:line="360" w:lineRule="auto"/>
              <w:rPr>
                <w:rFonts w:hint="default" w:eastAsia="宋体"/>
                <w:szCs w:val="21"/>
                <w:lang w:val="en-US" w:eastAsia="zh-CN"/>
              </w:rPr>
            </w:pPr>
            <w:r>
              <w:rPr>
                <w:rFonts w:hint="eastAsia"/>
                <w:szCs w:val="21"/>
                <w:lang w:val="en-US" w:eastAsia="zh-CN"/>
              </w:rPr>
              <w:t>质量管理体系的范围</w:t>
            </w:r>
          </w:p>
        </w:tc>
        <w:tc>
          <w:tcPr>
            <w:tcW w:w="960" w:type="dxa"/>
          </w:tcPr>
          <w:p>
            <w:pPr>
              <w:spacing w:line="360" w:lineRule="auto"/>
              <w:rPr>
                <w:rFonts w:hint="eastAsia"/>
                <w:sz w:val="24"/>
                <w:lang w:val="en-US" w:eastAsia="zh-CN"/>
              </w:rPr>
            </w:pPr>
            <w:r>
              <w:rPr>
                <w:rFonts w:hint="eastAsia"/>
                <w:sz w:val="24"/>
                <w:lang w:val="en-US" w:eastAsia="zh-CN"/>
              </w:rPr>
              <w:t>Q4.3</w:t>
            </w:r>
          </w:p>
        </w:tc>
        <w:tc>
          <w:tcPr>
            <w:tcW w:w="10004" w:type="dxa"/>
          </w:tcPr>
          <w:p>
            <w:pPr>
              <w:spacing w:line="360" w:lineRule="auto"/>
              <w:rPr>
                <w:rFonts w:hint="default" w:ascii="宋体" w:hAnsi="宋体"/>
                <w:sz w:val="24"/>
                <w:lang w:val="en-US" w:eastAsia="zh-CN"/>
              </w:rPr>
            </w:pPr>
            <w:r>
              <w:rPr>
                <w:rFonts w:hint="eastAsia" w:ascii="宋体" w:hAnsi="宋体"/>
                <w:sz w:val="24"/>
                <w:lang w:val="en-US" w:eastAsia="zh-CN"/>
              </w:rPr>
              <w:t>申请认证的范围：工业自动化系统集成（含设计、安装）；电脑外设及耗材、监控设备的销售</w:t>
            </w:r>
          </w:p>
          <w:p>
            <w:pPr>
              <w:spacing w:line="360" w:lineRule="auto"/>
              <w:rPr>
                <w:rFonts w:hint="default" w:ascii="宋体" w:hAnsi="宋体"/>
                <w:sz w:val="24"/>
                <w:lang w:val="en-US" w:eastAsia="zh-CN"/>
              </w:rPr>
            </w:pPr>
            <w:r>
              <w:rPr>
                <w:rFonts w:hint="eastAsia" w:ascii="宋体" w:hAnsi="宋体"/>
                <w:sz w:val="24"/>
                <w:lang w:val="en-US" w:eastAsia="zh-CN"/>
              </w:rPr>
              <w:t>覆盖的部门：办公室、生产部、研发部</w:t>
            </w:r>
          </w:p>
          <w:p>
            <w:pPr>
              <w:spacing w:line="360" w:lineRule="auto"/>
              <w:rPr>
                <w:rFonts w:hint="eastAsia" w:ascii="宋体" w:hAnsi="宋体"/>
                <w:sz w:val="24"/>
                <w:lang w:val="en-US" w:eastAsia="zh-CN"/>
              </w:rPr>
            </w:pPr>
            <w:r>
              <w:rPr>
                <w:rFonts w:hint="eastAsia" w:ascii="宋体" w:hAnsi="宋体"/>
                <w:sz w:val="24"/>
                <w:lang w:val="en-US" w:eastAsia="zh-CN"/>
              </w:rPr>
              <w:t>覆盖的时期：2019年9月至现在</w:t>
            </w:r>
          </w:p>
          <w:p>
            <w:pPr>
              <w:spacing w:line="360" w:lineRule="auto"/>
              <w:rPr>
                <w:rFonts w:hint="eastAsia" w:ascii="宋体" w:hAnsi="宋体"/>
                <w:sz w:val="24"/>
                <w:lang w:val="en-US" w:eastAsia="zh-CN"/>
              </w:rPr>
            </w:pPr>
            <w:r>
              <w:rPr>
                <w:rFonts w:hint="eastAsia" w:ascii="宋体" w:hAnsi="宋体"/>
                <w:sz w:val="24"/>
                <w:lang w:val="en-US" w:eastAsia="zh-CN"/>
              </w:rPr>
              <w:t>注册地址：</w:t>
            </w:r>
            <w:bookmarkStart w:id="2" w:name="注册地址"/>
            <w:r>
              <w:rPr>
                <w:rFonts w:hint="eastAsia" w:ascii="宋体" w:hAnsi="宋体"/>
                <w:sz w:val="24"/>
                <w:lang w:val="en-US" w:eastAsia="zh-CN"/>
              </w:rPr>
              <w:t>南京市庐山路158号嘉业国际城02幢2318室</w:t>
            </w:r>
            <w:bookmarkEnd w:id="2"/>
          </w:p>
          <w:p>
            <w:pPr>
              <w:spacing w:line="360" w:lineRule="auto"/>
              <w:rPr>
                <w:rFonts w:hint="eastAsia" w:ascii="宋体" w:hAnsi="宋体"/>
                <w:sz w:val="24"/>
                <w:lang w:val="en-US" w:eastAsia="zh-CN"/>
              </w:rPr>
            </w:pPr>
            <w:r>
              <w:rPr>
                <w:rFonts w:hint="eastAsia" w:ascii="宋体" w:hAnsi="宋体"/>
                <w:sz w:val="24"/>
                <w:lang w:val="en-US" w:eastAsia="zh-CN"/>
              </w:rPr>
              <w:t>经营地址：南京市庐山路158号嘉业国际城02幢801室</w:t>
            </w:r>
          </w:p>
        </w:tc>
        <w:tc>
          <w:tcPr>
            <w:tcW w:w="1585" w:type="dxa"/>
          </w:tcPr>
          <w:p>
            <w:pPr>
              <w:spacing w:line="360" w:lineRule="auto"/>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160" w:type="dxa"/>
          </w:tcPr>
          <w:p>
            <w:pPr>
              <w:spacing w:line="360" w:lineRule="auto"/>
              <w:rPr>
                <w:rFonts w:hint="default"/>
                <w:b w:val="0"/>
                <w:bCs w:val="0"/>
                <w:color w:val="auto"/>
                <w:szCs w:val="21"/>
                <w:lang w:val="en-US" w:eastAsia="zh-CN"/>
              </w:rPr>
            </w:pPr>
            <w:r>
              <w:rPr>
                <w:rFonts w:hint="eastAsia"/>
                <w:b w:val="0"/>
                <w:bCs w:val="0"/>
                <w:color w:val="auto"/>
                <w:szCs w:val="21"/>
                <w:lang w:val="en-US" w:eastAsia="zh-CN"/>
              </w:rPr>
              <w:t>质量管理体系及其过程</w:t>
            </w:r>
          </w:p>
        </w:tc>
        <w:tc>
          <w:tcPr>
            <w:tcW w:w="960" w:type="dxa"/>
          </w:tcPr>
          <w:p>
            <w:pPr>
              <w:spacing w:line="360" w:lineRule="auto"/>
              <w:rPr>
                <w:rFonts w:hint="eastAsia"/>
                <w:b w:val="0"/>
                <w:bCs w:val="0"/>
                <w:color w:val="auto"/>
                <w:sz w:val="24"/>
                <w:lang w:val="en-US" w:eastAsia="zh-CN"/>
              </w:rPr>
            </w:pPr>
            <w:r>
              <w:rPr>
                <w:rFonts w:hint="eastAsia"/>
                <w:b w:val="0"/>
                <w:bCs w:val="0"/>
                <w:color w:val="auto"/>
                <w:sz w:val="24"/>
                <w:lang w:val="en-US" w:eastAsia="zh-CN"/>
              </w:rPr>
              <w:t>Q4.4</w:t>
            </w:r>
          </w:p>
        </w:tc>
        <w:tc>
          <w:tcPr>
            <w:tcW w:w="10004" w:type="dxa"/>
          </w:tcPr>
          <w:p>
            <w:pPr>
              <w:spacing w:line="360" w:lineRule="auto"/>
              <w:rPr>
                <w:rFonts w:hint="eastAsia" w:ascii="宋体" w:hAnsi="宋体"/>
                <w:sz w:val="24"/>
                <w:lang w:val="en-US" w:eastAsia="zh-CN"/>
              </w:rPr>
            </w:pPr>
            <w:r>
              <w:rPr>
                <w:rFonts w:hint="eastAsia" w:ascii="宋体" w:hAnsi="宋体"/>
                <w:sz w:val="24"/>
                <w:lang w:val="en-US" w:eastAsia="zh-CN"/>
              </w:rPr>
              <w:t>质量方面：查《过程风险与机遇评价与应对策划表》</w:t>
            </w:r>
          </w:p>
          <w:p>
            <w:pPr>
              <w:spacing w:line="360" w:lineRule="auto"/>
              <w:rPr>
                <w:rFonts w:hint="eastAsia" w:ascii="宋体" w:hAnsi="宋体"/>
                <w:sz w:val="24"/>
                <w:lang w:val="en-US" w:eastAsia="zh-CN"/>
              </w:rPr>
            </w:pPr>
            <w:r>
              <w:rPr>
                <w:rFonts w:hint="eastAsia" w:ascii="宋体" w:hAnsi="宋体"/>
                <w:sz w:val="24"/>
                <w:lang w:val="en-US" w:eastAsia="zh-CN"/>
              </w:rPr>
              <w:t>与顾客有关的过程COP——3个</w:t>
            </w:r>
          </w:p>
          <w:p>
            <w:pPr>
              <w:spacing w:line="360" w:lineRule="auto"/>
              <w:rPr>
                <w:rFonts w:hint="eastAsia" w:ascii="宋体" w:hAnsi="宋体"/>
                <w:sz w:val="24"/>
                <w:lang w:val="en-US" w:eastAsia="zh-CN"/>
              </w:rPr>
            </w:pPr>
            <w:r>
              <w:rPr>
                <w:rFonts w:hint="eastAsia" w:ascii="宋体" w:hAnsi="宋体"/>
                <w:sz w:val="24"/>
                <w:lang w:val="en-US" w:eastAsia="zh-CN"/>
              </w:rPr>
              <w:t>管理过程MP——3个</w:t>
            </w:r>
          </w:p>
          <w:p>
            <w:pPr>
              <w:spacing w:line="360" w:lineRule="auto"/>
              <w:rPr>
                <w:rFonts w:hint="eastAsia"/>
                <w:b w:val="0"/>
                <w:bCs w:val="0"/>
                <w:color w:val="auto"/>
                <w:sz w:val="24"/>
                <w:lang w:val="en-US" w:eastAsia="zh-CN"/>
              </w:rPr>
            </w:pPr>
            <w:r>
              <w:rPr>
                <w:rFonts w:hint="eastAsia" w:ascii="宋体" w:hAnsi="宋体"/>
                <w:sz w:val="24"/>
                <w:lang w:val="en-US" w:eastAsia="zh-CN"/>
              </w:rPr>
              <w:t>支持过程SP——9个</w:t>
            </w:r>
          </w:p>
        </w:tc>
        <w:tc>
          <w:tcPr>
            <w:tcW w:w="1585" w:type="dxa"/>
          </w:tcPr>
          <w:p>
            <w:pPr>
              <w:spacing w:line="360" w:lineRule="auto"/>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spacing w:line="360" w:lineRule="auto"/>
              <w:rPr>
                <w:rFonts w:hint="default"/>
                <w:szCs w:val="21"/>
                <w:lang w:val="en-US" w:eastAsia="zh-CN"/>
              </w:rPr>
            </w:pPr>
            <w:r>
              <w:rPr>
                <w:rFonts w:hint="eastAsia"/>
                <w:szCs w:val="21"/>
                <w:lang w:val="en-US" w:eastAsia="zh-CN"/>
              </w:rPr>
              <w:t>领导的作用和承诺</w:t>
            </w:r>
          </w:p>
        </w:tc>
        <w:tc>
          <w:tcPr>
            <w:tcW w:w="960" w:type="dxa"/>
          </w:tcPr>
          <w:p>
            <w:pPr>
              <w:spacing w:line="360" w:lineRule="auto"/>
              <w:rPr>
                <w:rFonts w:hint="default"/>
                <w:sz w:val="24"/>
                <w:lang w:val="en-US" w:eastAsia="zh-CN"/>
              </w:rPr>
            </w:pPr>
            <w:r>
              <w:rPr>
                <w:rFonts w:hint="eastAsia"/>
                <w:sz w:val="24"/>
                <w:lang w:val="en-US" w:eastAsia="zh-CN"/>
              </w:rPr>
              <w:t>Q5.1</w:t>
            </w:r>
          </w:p>
        </w:tc>
        <w:tc>
          <w:tcPr>
            <w:tcW w:w="10004" w:type="dxa"/>
          </w:tcPr>
          <w:p>
            <w:pPr>
              <w:spacing w:line="360" w:lineRule="auto"/>
              <w:rPr>
                <w:rFonts w:hint="eastAsia"/>
                <w:sz w:val="24"/>
                <w:lang w:val="en-US" w:eastAsia="zh-CN"/>
              </w:rPr>
            </w:pPr>
            <w:r>
              <w:rPr>
                <w:rFonts w:hint="eastAsia"/>
                <w:sz w:val="24"/>
                <w:lang w:val="en-US" w:eastAsia="zh-CN"/>
              </w:rPr>
              <w:t>在《管理手册》中有关于最高管理者承诺的描述；包括下列内容：</w:t>
            </w:r>
          </w:p>
          <w:p>
            <w:pPr>
              <w:spacing w:line="360" w:lineRule="auto"/>
              <w:rPr>
                <w:rFonts w:hint="eastAsia"/>
                <w:sz w:val="24"/>
                <w:lang w:val="en-US" w:eastAsia="zh-CN"/>
              </w:rPr>
            </w:pPr>
            <w:r>
              <w:rPr>
                <w:rFonts w:hint="eastAsia"/>
                <w:sz w:val="24"/>
                <w:lang w:val="en-US" w:eastAsia="zh-CN"/>
              </w:rPr>
              <w:t xml:space="preserve">a) 对管理体系的有效性责任； </w:t>
            </w:r>
          </w:p>
          <w:p>
            <w:pPr>
              <w:spacing w:line="360" w:lineRule="auto"/>
              <w:rPr>
                <w:rFonts w:hint="eastAsia"/>
                <w:sz w:val="24"/>
                <w:lang w:val="en-US" w:eastAsia="zh-CN"/>
              </w:rPr>
            </w:pPr>
            <w:r>
              <w:rPr>
                <w:rFonts w:hint="eastAsia"/>
                <w:sz w:val="24"/>
                <w:lang w:val="en-US" w:eastAsia="zh-CN"/>
              </w:rPr>
              <w:t xml:space="preserve">b) 确保制定管理体系的方针和目标，并与组织环境相适应，与战略方向相一致； </w:t>
            </w:r>
          </w:p>
          <w:p>
            <w:pPr>
              <w:spacing w:line="360" w:lineRule="auto"/>
              <w:rPr>
                <w:rFonts w:hint="eastAsia"/>
                <w:sz w:val="24"/>
                <w:lang w:val="en-US" w:eastAsia="zh-CN"/>
              </w:rPr>
            </w:pPr>
            <w:r>
              <w:rPr>
                <w:rFonts w:hint="eastAsia"/>
                <w:sz w:val="24"/>
                <w:lang w:val="en-US" w:eastAsia="zh-CN"/>
              </w:rPr>
              <w:t xml:space="preserve">c) 确保管理体系要求融入组织的业务过程； </w:t>
            </w:r>
          </w:p>
          <w:p>
            <w:pPr>
              <w:spacing w:line="360" w:lineRule="auto"/>
              <w:rPr>
                <w:rFonts w:hint="eastAsia"/>
                <w:sz w:val="24"/>
                <w:lang w:val="en-US" w:eastAsia="zh-CN"/>
              </w:rPr>
            </w:pPr>
            <w:r>
              <w:rPr>
                <w:rFonts w:hint="eastAsia"/>
                <w:sz w:val="24"/>
                <w:lang w:val="en-US" w:eastAsia="zh-CN"/>
              </w:rPr>
              <w:t xml:space="preserve">d) 促进使用过程方法和基于风险的思维； </w:t>
            </w:r>
          </w:p>
          <w:p>
            <w:pPr>
              <w:spacing w:line="360" w:lineRule="auto"/>
              <w:rPr>
                <w:rFonts w:hint="eastAsia"/>
                <w:sz w:val="24"/>
                <w:lang w:val="en-US" w:eastAsia="zh-CN"/>
              </w:rPr>
            </w:pPr>
            <w:r>
              <w:rPr>
                <w:rFonts w:hint="eastAsia"/>
                <w:sz w:val="24"/>
                <w:lang w:val="en-US" w:eastAsia="zh-CN"/>
              </w:rPr>
              <w:t xml:space="preserve">e) 确保管理体系所需的资源是获得的； </w:t>
            </w:r>
          </w:p>
          <w:p>
            <w:pPr>
              <w:spacing w:line="360" w:lineRule="auto"/>
              <w:rPr>
                <w:rFonts w:hint="eastAsia"/>
                <w:sz w:val="24"/>
                <w:lang w:val="en-US" w:eastAsia="zh-CN"/>
              </w:rPr>
            </w:pPr>
            <w:r>
              <w:rPr>
                <w:rFonts w:hint="eastAsia"/>
                <w:sz w:val="24"/>
                <w:lang w:val="en-US" w:eastAsia="zh-CN"/>
              </w:rPr>
              <w:t>f) 沟通有效的管理和符合管理体系要求的重要性；</w:t>
            </w:r>
          </w:p>
          <w:p>
            <w:pPr>
              <w:spacing w:line="360" w:lineRule="auto"/>
              <w:rPr>
                <w:rFonts w:hint="eastAsia"/>
                <w:sz w:val="24"/>
                <w:lang w:val="en-US" w:eastAsia="zh-CN"/>
              </w:rPr>
            </w:pPr>
            <w:r>
              <w:rPr>
                <w:rFonts w:hint="eastAsia"/>
                <w:sz w:val="24"/>
                <w:lang w:val="en-US" w:eastAsia="zh-CN"/>
              </w:rPr>
              <w:t>g) 确保管理体系实现其预期结果；</w:t>
            </w:r>
          </w:p>
          <w:p>
            <w:pPr>
              <w:spacing w:line="360" w:lineRule="auto"/>
              <w:rPr>
                <w:rFonts w:hint="eastAsia"/>
                <w:sz w:val="24"/>
                <w:lang w:val="en-US" w:eastAsia="zh-CN"/>
              </w:rPr>
            </w:pPr>
            <w:r>
              <w:rPr>
                <w:rFonts w:hint="eastAsia"/>
                <w:sz w:val="24"/>
                <w:lang w:val="en-US" w:eastAsia="zh-CN"/>
              </w:rPr>
              <w:t>h) 促使员工积极参与、指导和支持他们为质量管理体系的有效性作出贡献；</w:t>
            </w:r>
          </w:p>
          <w:p>
            <w:pPr>
              <w:spacing w:line="360" w:lineRule="auto"/>
              <w:rPr>
                <w:rFonts w:hint="eastAsia"/>
                <w:sz w:val="24"/>
                <w:lang w:val="en-US" w:eastAsia="zh-CN"/>
              </w:rPr>
            </w:pPr>
            <w:r>
              <w:rPr>
                <w:rFonts w:hint="eastAsia"/>
                <w:sz w:val="24"/>
                <w:lang w:val="en-US" w:eastAsia="zh-CN"/>
              </w:rPr>
              <w:t>i) 推动改进；</w:t>
            </w:r>
          </w:p>
          <w:p>
            <w:pPr>
              <w:spacing w:line="360" w:lineRule="auto"/>
              <w:rPr>
                <w:rFonts w:hint="eastAsia"/>
                <w:sz w:val="24"/>
                <w:lang w:val="en-US" w:eastAsia="zh-CN"/>
              </w:rPr>
            </w:pPr>
            <w:r>
              <w:rPr>
                <w:rFonts w:hint="eastAsia"/>
                <w:sz w:val="24"/>
                <w:lang w:val="en-US" w:eastAsia="zh-CN"/>
              </w:rPr>
              <w:t>j) 支持其他相关管理者在其职责范围内发挥领导作用。</w:t>
            </w:r>
          </w:p>
          <w:p>
            <w:pPr>
              <w:spacing w:line="360" w:lineRule="auto"/>
              <w:rPr>
                <w:rFonts w:hint="eastAsia"/>
                <w:sz w:val="24"/>
                <w:lang w:val="en-US" w:eastAsia="zh-CN"/>
              </w:rPr>
            </w:pPr>
          </w:p>
          <w:p>
            <w:pPr>
              <w:spacing w:line="360" w:lineRule="auto"/>
              <w:rPr>
                <w:rFonts w:hint="eastAsia"/>
                <w:sz w:val="24"/>
                <w:lang w:val="en-US" w:eastAsia="zh-CN"/>
              </w:rPr>
            </w:pPr>
            <w:r>
              <w:rPr>
                <w:rFonts w:hint="eastAsia"/>
                <w:sz w:val="24"/>
                <w:lang w:val="en-US" w:eastAsia="zh-CN"/>
              </w:rPr>
              <w:t>在《管理手册》中5.1.2条款</w:t>
            </w:r>
          </w:p>
          <w:p>
            <w:pPr>
              <w:spacing w:line="360" w:lineRule="auto"/>
              <w:rPr>
                <w:rFonts w:hint="eastAsia"/>
                <w:sz w:val="24"/>
                <w:lang w:val="en-US" w:eastAsia="zh-CN"/>
              </w:rPr>
            </w:pPr>
            <w:r>
              <w:rPr>
                <w:rFonts w:hint="eastAsia"/>
                <w:sz w:val="24"/>
                <w:lang w:val="en-US" w:eastAsia="zh-CN"/>
              </w:rPr>
              <w:t xml:space="preserve">最高管理者通过以下方面，确保证实其以顾客为关注焦点的领导作用和承诺： </w:t>
            </w:r>
          </w:p>
          <w:p>
            <w:pPr>
              <w:spacing w:line="360" w:lineRule="auto"/>
              <w:rPr>
                <w:rFonts w:hint="eastAsia"/>
                <w:sz w:val="24"/>
                <w:lang w:val="en-US" w:eastAsia="zh-CN"/>
              </w:rPr>
            </w:pPr>
            <w:r>
              <w:rPr>
                <w:rFonts w:hint="eastAsia"/>
                <w:sz w:val="24"/>
                <w:lang w:val="en-US" w:eastAsia="zh-CN"/>
              </w:rPr>
              <w:t xml:space="preserve">a）确定、理解并持续地满足顾客要求以及适用的法律法规要求； </w:t>
            </w:r>
          </w:p>
          <w:p>
            <w:pPr>
              <w:spacing w:line="360" w:lineRule="auto"/>
              <w:rPr>
                <w:rFonts w:hint="eastAsia"/>
                <w:sz w:val="24"/>
                <w:lang w:val="en-US" w:eastAsia="zh-CN"/>
              </w:rPr>
            </w:pPr>
            <w:r>
              <w:rPr>
                <w:rFonts w:hint="eastAsia"/>
                <w:sz w:val="24"/>
                <w:lang w:val="en-US" w:eastAsia="zh-CN"/>
              </w:rPr>
              <w:t xml:space="preserve">b）确定和应对风险和机遇，这些风险和机遇可能影响产品和服务的合格，以及增强顾客满意能力； </w:t>
            </w:r>
          </w:p>
          <w:p>
            <w:pPr>
              <w:spacing w:line="360" w:lineRule="auto"/>
              <w:rPr>
                <w:rFonts w:hint="eastAsia"/>
                <w:sz w:val="24"/>
                <w:lang w:val="en-US" w:eastAsia="zh-CN"/>
              </w:rPr>
            </w:pPr>
            <w:r>
              <w:rPr>
                <w:rFonts w:hint="eastAsia"/>
                <w:sz w:val="24"/>
                <w:lang w:val="en-US" w:eastAsia="zh-CN"/>
              </w:rPr>
              <w:t xml:space="preserve">c）始终致力于增强顾客满意。 </w:t>
            </w:r>
          </w:p>
          <w:p>
            <w:pPr>
              <w:spacing w:line="360" w:lineRule="auto"/>
              <w:rPr>
                <w:rFonts w:hint="default"/>
                <w:sz w:val="24"/>
                <w:lang w:val="en-US" w:eastAsia="zh-CN"/>
              </w:rPr>
            </w:pPr>
            <w:r>
              <w:rPr>
                <w:rFonts w:hint="eastAsia"/>
                <w:sz w:val="24"/>
                <w:lang w:val="en-US" w:eastAsia="zh-CN"/>
              </w:rPr>
              <w:t>——由办公室负责收集评价法律法规，形成管理制度，各部门有效实施；并及时处置顾客投诉和建议，设定顾客满意度质量目标达到90%以上。</w:t>
            </w:r>
          </w:p>
          <w:p>
            <w:pPr>
              <w:spacing w:line="360" w:lineRule="auto"/>
              <w:rPr>
                <w:rFonts w:hint="eastAsia"/>
                <w:sz w:val="24"/>
                <w:lang w:val="en-US" w:eastAsia="zh-CN"/>
              </w:rPr>
            </w:pPr>
            <w:r>
              <w:rPr>
                <w:rFonts w:hint="eastAsia"/>
                <w:sz w:val="24"/>
                <w:lang w:val="en-US" w:eastAsia="zh-CN"/>
              </w:rPr>
              <w:t>办公室每年组织顾客走进行满意度调查，了解客户的需求和期望，并将之转化为公司的生产质量要求予以确定，交付符合顾客要求和法规要求的产品，以增强顾客满意。</w:t>
            </w:r>
          </w:p>
        </w:tc>
        <w:tc>
          <w:tcPr>
            <w:tcW w:w="1585" w:type="dxa"/>
          </w:tcPr>
          <w:p>
            <w:pPr>
              <w:spacing w:line="360" w:lineRule="auto"/>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spacing w:line="360" w:lineRule="auto"/>
              <w:rPr>
                <w:rFonts w:hint="default"/>
                <w:szCs w:val="21"/>
                <w:lang w:val="en-US" w:eastAsia="zh-CN"/>
              </w:rPr>
            </w:pPr>
            <w:r>
              <w:rPr>
                <w:rFonts w:hint="eastAsia"/>
                <w:szCs w:val="21"/>
                <w:lang w:val="en-US" w:eastAsia="zh-CN"/>
              </w:rPr>
              <w:t>质量方针</w:t>
            </w:r>
          </w:p>
        </w:tc>
        <w:tc>
          <w:tcPr>
            <w:tcW w:w="960" w:type="dxa"/>
          </w:tcPr>
          <w:p>
            <w:pPr>
              <w:spacing w:line="360" w:lineRule="auto"/>
              <w:rPr>
                <w:rFonts w:hint="eastAsia"/>
                <w:sz w:val="24"/>
                <w:lang w:val="en-US" w:eastAsia="zh-CN"/>
              </w:rPr>
            </w:pPr>
            <w:r>
              <w:rPr>
                <w:rFonts w:hint="eastAsia"/>
                <w:sz w:val="24"/>
                <w:lang w:val="en-US" w:eastAsia="zh-CN"/>
              </w:rPr>
              <w:t>Q5.2</w:t>
            </w:r>
          </w:p>
        </w:tc>
        <w:tc>
          <w:tcPr>
            <w:tcW w:w="10004" w:type="dxa"/>
          </w:tcPr>
          <w:p>
            <w:pPr>
              <w:spacing w:line="360" w:lineRule="auto"/>
              <w:rPr>
                <w:rFonts w:hint="eastAsia"/>
                <w:sz w:val="24"/>
                <w:lang w:val="en-US" w:eastAsia="zh-CN"/>
              </w:rPr>
            </w:pPr>
            <w:r>
              <w:rPr>
                <w:rFonts w:hint="eastAsia"/>
                <w:sz w:val="24"/>
                <w:lang w:val="en-US" w:eastAsia="zh-CN"/>
              </w:rPr>
              <w:t>在《管理手册》中5.2质量方针和目标 章节中</w:t>
            </w:r>
          </w:p>
          <w:p>
            <w:pPr>
              <w:spacing w:line="360" w:lineRule="auto"/>
              <w:rPr>
                <w:rFonts w:hint="default"/>
                <w:sz w:val="24"/>
                <w:lang w:val="en-US" w:eastAsia="zh-CN"/>
              </w:rPr>
            </w:pPr>
            <w:r>
              <w:rPr>
                <w:rFonts w:hint="eastAsia"/>
                <w:sz w:val="24"/>
                <w:lang w:val="en-US" w:eastAsia="zh-CN"/>
              </w:rPr>
              <w:t>企业质量方针：“规范管理、周到服务、客户满意、持续改进。”</w:t>
            </w:r>
          </w:p>
          <w:p>
            <w:pPr>
              <w:spacing w:line="360" w:lineRule="auto"/>
              <w:rPr>
                <w:rFonts w:hint="eastAsia"/>
                <w:sz w:val="24"/>
                <w:lang w:val="en-US" w:eastAsia="zh-CN"/>
              </w:rPr>
            </w:pPr>
            <w:r>
              <w:rPr>
                <w:rFonts w:hint="eastAsia"/>
                <w:sz w:val="24"/>
                <w:lang w:val="en-US" w:eastAsia="zh-CN"/>
              </w:rPr>
              <w:t>与公司的经营宗旨相适应，体现公司在质量方面追求的承诺。体现了满足和遵守相关法律法规的承诺、体现了持续改进管理体系的承诺，为质量目标的制定和评审提供了框架，通过组织学习培训， 使全员了解公司质量方针的内涵。为质量方针的实现努力工作，经管理评审确认，方针适合于公司现状，目前暂不作修订。</w:t>
            </w:r>
          </w:p>
        </w:tc>
        <w:tc>
          <w:tcPr>
            <w:tcW w:w="1585" w:type="dxa"/>
          </w:tcPr>
          <w:p>
            <w:pPr>
              <w:spacing w:line="360" w:lineRule="auto"/>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spacing w:line="360" w:lineRule="auto"/>
              <w:rPr>
                <w:rFonts w:hint="default"/>
                <w:szCs w:val="21"/>
                <w:lang w:val="en-US" w:eastAsia="zh-CN"/>
              </w:rPr>
            </w:pPr>
            <w:r>
              <w:rPr>
                <w:rFonts w:hint="eastAsia"/>
                <w:szCs w:val="21"/>
                <w:lang w:val="en-US" w:eastAsia="zh-CN"/>
              </w:rPr>
              <w:t>组织的岗位职责和权限</w:t>
            </w:r>
          </w:p>
        </w:tc>
        <w:tc>
          <w:tcPr>
            <w:tcW w:w="960" w:type="dxa"/>
          </w:tcPr>
          <w:p>
            <w:pPr>
              <w:spacing w:line="360" w:lineRule="auto"/>
              <w:rPr>
                <w:rFonts w:hint="eastAsia"/>
                <w:sz w:val="24"/>
                <w:lang w:val="en-US" w:eastAsia="zh-CN"/>
              </w:rPr>
            </w:pPr>
            <w:r>
              <w:rPr>
                <w:rFonts w:hint="eastAsia"/>
                <w:sz w:val="24"/>
                <w:lang w:val="en-US" w:eastAsia="zh-CN"/>
              </w:rPr>
              <w:t>Q5.3</w:t>
            </w:r>
          </w:p>
        </w:tc>
        <w:tc>
          <w:tcPr>
            <w:tcW w:w="10004" w:type="dxa"/>
          </w:tcPr>
          <w:p>
            <w:pPr>
              <w:spacing w:line="360" w:lineRule="auto"/>
              <w:rPr>
                <w:rFonts w:hint="eastAsia"/>
                <w:sz w:val="24"/>
                <w:lang w:val="en-US" w:eastAsia="zh-CN"/>
              </w:rPr>
            </w:pPr>
            <w:r>
              <w:rPr>
                <w:rFonts w:hint="eastAsia"/>
                <w:sz w:val="24"/>
                <w:lang w:val="en-US" w:eastAsia="zh-CN"/>
              </w:rPr>
              <w:t>企业经管理层策划公司的组织机构为3个部门，即办公室、生产部、研发部。至今组织机构未变更,在《岗位职责及权限》中明确了各部门的质量职责和权限及其接口关系。查《岗位职责及权限》文件，各部门的职责与权限与《员工岗位能力评估表》基本一致，基本符合标准要求。</w:t>
            </w:r>
          </w:p>
        </w:tc>
        <w:tc>
          <w:tcPr>
            <w:tcW w:w="1585" w:type="dxa"/>
          </w:tcPr>
          <w:p>
            <w:pPr>
              <w:spacing w:line="360" w:lineRule="auto"/>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宋体" w:hAnsi="宋体"/>
                <w:szCs w:val="21"/>
              </w:rPr>
            </w:pPr>
            <w:r>
              <w:rPr>
                <w:rFonts w:hint="eastAsia" w:ascii="宋体" w:hAnsi="宋体"/>
                <w:szCs w:val="21"/>
              </w:rPr>
              <w:t>应对风险和机遇的措施</w:t>
            </w:r>
          </w:p>
        </w:tc>
        <w:tc>
          <w:tcPr>
            <w:tcW w:w="960" w:type="dxa"/>
          </w:tcPr>
          <w:p>
            <w:pPr>
              <w:spacing w:line="360" w:lineRule="auto"/>
              <w:rPr>
                <w:rFonts w:ascii="宋体" w:hAnsi="宋体"/>
                <w:szCs w:val="21"/>
              </w:rPr>
            </w:pPr>
            <w:r>
              <w:rPr>
                <w:rFonts w:ascii="宋体" w:hAnsi="宋体"/>
                <w:szCs w:val="21"/>
              </w:rPr>
              <w:t>Q</w:t>
            </w:r>
            <w:r>
              <w:rPr>
                <w:rFonts w:hint="eastAsia" w:ascii="宋体" w:hAnsi="宋体"/>
                <w:szCs w:val="21"/>
              </w:rPr>
              <w:t>6.</w:t>
            </w:r>
            <w:r>
              <w:rPr>
                <w:rFonts w:ascii="宋体" w:hAnsi="宋体"/>
                <w:szCs w:val="21"/>
              </w:rPr>
              <w:t>1</w:t>
            </w:r>
          </w:p>
        </w:tc>
        <w:tc>
          <w:tcPr>
            <w:tcW w:w="10004" w:type="dxa"/>
          </w:tcPr>
          <w:p>
            <w:pPr>
              <w:spacing w:line="360" w:lineRule="auto"/>
              <w:rPr>
                <w:rFonts w:hint="eastAsia" w:ascii="宋体" w:hAnsi="宋体"/>
                <w:color w:val="auto"/>
                <w:sz w:val="24"/>
              </w:rPr>
            </w:pPr>
            <w:r>
              <w:rPr>
                <w:rFonts w:hint="eastAsia" w:ascii="宋体" w:hAnsi="宋体"/>
                <w:color w:val="auto"/>
                <w:sz w:val="24"/>
              </w:rPr>
              <w:t>公司在策划质量管理体系时，为确保质量管理体系能够实现其预期结果、增强有利影响避免或减少不利影响并实现改进，</w:t>
            </w:r>
            <w:r>
              <w:rPr>
                <w:rFonts w:hint="eastAsia"/>
                <w:color w:val="auto"/>
                <w:sz w:val="24"/>
              </w:rPr>
              <w:t>管理者代表考</w:t>
            </w:r>
            <w:r>
              <w:rPr>
                <w:rFonts w:hint="eastAsia" w:ascii="宋体" w:hAnsi="宋体"/>
                <w:color w:val="auto"/>
                <w:sz w:val="24"/>
              </w:rPr>
              <w:t>虑公司环境有关的外部和内部因素、相关方的需求和期望，通过推动SWOT分析方法来确定应对风险和机遇措施。</w:t>
            </w:r>
          </w:p>
          <w:p>
            <w:pPr>
              <w:spacing w:line="360" w:lineRule="auto"/>
              <w:rPr>
                <w:rFonts w:hint="default" w:ascii="宋体" w:hAnsi="宋体" w:eastAsia="宋体"/>
                <w:color w:val="auto"/>
                <w:sz w:val="24"/>
                <w:lang w:val="en-US" w:eastAsia="zh-CN"/>
              </w:rPr>
            </w:pPr>
            <w:r>
              <w:rPr>
                <w:rFonts w:hint="eastAsia" w:ascii="宋体" w:hAnsi="宋体"/>
                <w:color w:val="auto"/>
                <w:sz w:val="24"/>
                <w:lang w:val="en-US" w:eastAsia="zh-CN"/>
              </w:rPr>
              <w:t>提供了《风险和机遇评估分析表》，针对识别的内外部风险和机遇，制定了相应的应对措施，针对法律法规的变化，可以要求主要职能部门按照要求加强法律法规的收集评价；针对基础设施的机遇，可以加强维护保养，确保设备的性能和精度长期稳定。</w:t>
            </w:r>
          </w:p>
          <w:p>
            <w:pPr>
              <w:spacing w:line="360" w:lineRule="auto"/>
              <w:rPr>
                <w:rFonts w:ascii="宋体" w:hAnsi="宋体"/>
                <w:color w:val="auto"/>
                <w:sz w:val="24"/>
              </w:rPr>
            </w:pPr>
            <w:r>
              <w:rPr>
                <w:rFonts w:hint="eastAsia" w:ascii="宋体" w:hAnsi="宋体"/>
                <w:color w:val="auto"/>
                <w:sz w:val="24"/>
              </w:rPr>
              <w:t>提供公司质量管理体</w:t>
            </w:r>
            <w:r>
              <w:rPr>
                <w:rFonts w:hint="eastAsia" w:ascii="宋体" w:hAnsi="宋体"/>
                <w:color w:val="auto"/>
                <w:sz w:val="24"/>
                <w:lang w:val="en-US" w:eastAsia="zh-CN"/>
              </w:rPr>
              <w:t>《过程风险与机遇评价与应对策划表》</w:t>
            </w:r>
            <w:r>
              <w:rPr>
                <w:rFonts w:hint="eastAsia" w:ascii="宋体" w:hAnsi="宋体"/>
                <w:color w:val="auto"/>
                <w:sz w:val="24"/>
              </w:rPr>
              <w:t>，对</w:t>
            </w:r>
            <w:r>
              <w:rPr>
                <w:rFonts w:hint="eastAsia" w:ascii="宋体" w:hAnsi="宋体"/>
                <w:color w:val="auto"/>
                <w:sz w:val="24"/>
                <w:lang w:val="en-US" w:eastAsia="zh-CN"/>
              </w:rPr>
              <w:t>人力资源控制</w:t>
            </w:r>
            <w:r>
              <w:rPr>
                <w:rFonts w:hint="eastAsia" w:ascii="宋体" w:hAnsi="宋体"/>
                <w:color w:val="auto"/>
                <w:sz w:val="24"/>
              </w:rPr>
              <w:t>、</w:t>
            </w:r>
            <w:r>
              <w:rPr>
                <w:rFonts w:hint="eastAsia" w:ascii="宋体" w:hAnsi="宋体"/>
                <w:color w:val="auto"/>
                <w:sz w:val="24"/>
                <w:lang w:val="en-US" w:eastAsia="zh-CN"/>
              </w:rPr>
              <w:t>检验过程</w:t>
            </w:r>
            <w:r>
              <w:rPr>
                <w:rFonts w:hint="eastAsia" w:ascii="宋体" w:hAnsi="宋体"/>
                <w:color w:val="auto"/>
                <w:sz w:val="24"/>
              </w:rPr>
              <w:t>、原材料的采购风险、订单评审过程、文件记录管理过程等进行了措施应对策划。</w:t>
            </w:r>
          </w:p>
          <w:p>
            <w:pPr>
              <w:spacing w:line="360" w:lineRule="auto"/>
              <w:rPr>
                <w:rFonts w:ascii="宋体" w:hAnsi="宋体"/>
                <w:color w:val="auto"/>
                <w:sz w:val="24"/>
              </w:rPr>
            </w:pPr>
            <w:r>
              <w:rPr>
                <w:rFonts w:hint="eastAsia" w:ascii="宋体" w:hAnsi="宋体"/>
                <w:color w:val="auto"/>
                <w:sz w:val="24"/>
              </w:rPr>
              <w:t>如：人员缺少教育训练，操作技能不够--不良品率高、影响交货期--对人员进行管理--制定相应管理制度--对人员进行</w:t>
            </w:r>
            <w:r>
              <w:rPr>
                <w:rFonts w:hint="eastAsia" w:ascii="宋体" w:hAnsi="宋体"/>
                <w:color w:val="auto"/>
                <w:sz w:val="24"/>
                <w:lang w:val="en-US" w:eastAsia="zh-CN"/>
              </w:rPr>
              <w:t>培训、技能评定</w:t>
            </w:r>
            <w:r>
              <w:rPr>
                <w:rFonts w:hint="eastAsia" w:ascii="宋体" w:hAnsi="宋体"/>
                <w:color w:val="auto"/>
                <w:sz w:val="24"/>
              </w:rPr>
              <w:t>等</w:t>
            </w:r>
          </w:p>
          <w:p>
            <w:pPr>
              <w:spacing w:line="360" w:lineRule="auto"/>
              <w:rPr>
                <w:sz w:val="24"/>
              </w:rPr>
            </w:pPr>
            <w:r>
              <w:rPr>
                <w:rFonts w:hint="eastAsia" w:ascii="宋体" w:hAnsi="宋体"/>
                <w:color w:val="auto"/>
                <w:sz w:val="24"/>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pPr>
              <w:spacing w:line="360" w:lineRule="auto"/>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spacing w:line="360" w:lineRule="auto"/>
              <w:rPr>
                <w:rFonts w:ascii="宋体" w:hAnsi="宋体"/>
                <w:szCs w:val="21"/>
              </w:rPr>
            </w:pPr>
            <w:r>
              <w:rPr>
                <w:rFonts w:hint="eastAsia" w:ascii="宋体" w:hAnsi="宋体"/>
                <w:szCs w:val="21"/>
              </w:rPr>
              <w:t>目标完成情况</w:t>
            </w:r>
          </w:p>
        </w:tc>
        <w:tc>
          <w:tcPr>
            <w:tcW w:w="960" w:type="dxa"/>
          </w:tcPr>
          <w:p>
            <w:pPr>
              <w:spacing w:line="360" w:lineRule="auto"/>
              <w:rPr>
                <w:rFonts w:ascii="宋体" w:hAnsi="宋体"/>
                <w:szCs w:val="21"/>
              </w:rPr>
            </w:pPr>
            <w:r>
              <w:rPr>
                <w:rFonts w:ascii="宋体" w:hAnsi="宋体"/>
                <w:szCs w:val="21"/>
              </w:rPr>
              <w:t>Q</w:t>
            </w:r>
            <w:r>
              <w:rPr>
                <w:rFonts w:hint="eastAsia" w:ascii="宋体" w:hAnsi="宋体"/>
                <w:szCs w:val="21"/>
              </w:rPr>
              <w:t>6.</w:t>
            </w:r>
            <w:r>
              <w:rPr>
                <w:rFonts w:ascii="宋体" w:hAnsi="宋体"/>
                <w:szCs w:val="21"/>
              </w:rPr>
              <w:t>2</w:t>
            </w:r>
          </w:p>
        </w:tc>
        <w:tc>
          <w:tcPr>
            <w:tcW w:w="10004" w:type="dxa"/>
          </w:tcPr>
          <w:p>
            <w:pPr>
              <w:spacing w:line="360" w:lineRule="auto"/>
              <w:rPr>
                <w:rFonts w:hint="eastAsia"/>
                <w:sz w:val="24"/>
                <w:lang w:val="en-US" w:eastAsia="zh-CN"/>
              </w:rPr>
            </w:pPr>
            <w:r>
              <w:rPr>
                <w:rFonts w:hint="eastAsia" w:ascii="宋体" w:hAnsi="宋体"/>
                <w:sz w:val="24"/>
                <w:lang w:val="en-US" w:eastAsia="zh-CN"/>
              </w:rPr>
              <w:t>查《管理手册》中0</w:t>
            </w:r>
            <w:r>
              <w:rPr>
                <w:rFonts w:hint="eastAsia"/>
                <w:sz w:val="24"/>
                <w:lang w:val="en-US" w:eastAsia="zh-CN"/>
              </w:rPr>
              <w:t>6质量方针和目标 章节中</w:t>
            </w:r>
          </w:p>
          <w:p>
            <w:pPr>
              <w:spacing w:line="360" w:lineRule="auto"/>
              <w:rPr>
                <w:rFonts w:hint="default"/>
                <w:color w:val="auto"/>
                <w:sz w:val="24"/>
                <w:lang w:val="en-US" w:eastAsia="zh-CN"/>
              </w:rPr>
            </w:pPr>
            <w:r>
              <w:rPr>
                <w:rFonts w:hint="eastAsia"/>
                <w:color w:val="auto"/>
                <w:sz w:val="24"/>
                <w:lang w:val="en-US" w:eastAsia="zh-CN"/>
              </w:rPr>
              <w:t>企业质量目标：产品一次交验合格率≥98%；顾客满意度达到90%</w:t>
            </w:r>
          </w:p>
          <w:p>
            <w:pPr>
              <w:spacing w:line="360" w:lineRule="auto"/>
              <w:rPr>
                <w:rFonts w:hint="default" w:eastAsia="宋体"/>
                <w:sz w:val="24"/>
                <w:lang w:val="en-US" w:eastAsia="zh-CN"/>
              </w:rPr>
            </w:pPr>
            <w:r>
              <w:rPr>
                <w:rFonts w:hint="eastAsia" w:ascii="宋体" w:hAnsi="宋体"/>
                <w:color w:val="auto"/>
                <w:sz w:val="24"/>
                <w:lang w:val="en-US" w:eastAsia="zh-CN"/>
              </w:rPr>
              <w:t>查2021年1月-2021年12月质量目标完成情况表，明确了目标的考核频次、计算方法、责任部门等。经查：目标均已完成。</w:t>
            </w:r>
          </w:p>
        </w:tc>
        <w:tc>
          <w:tcPr>
            <w:tcW w:w="1585" w:type="dxa"/>
          </w:tcPr>
          <w:p>
            <w:pPr>
              <w:spacing w:line="360" w:lineRule="auto"/>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spacing w:line="360" w:lineRule="auto"/>
              <w:rPr>
                <w:rFonts w:hint="default" w:ascii="宋体" w:hAnsi="宋体" w:eastAsia="宋体"/>
                <w:szCs w:val="21"/>
                <w:lang w:val="en-US" w:eastAsia="zh-CN"/>
              </w:rPr>
            </w:pPr>
            <w:r>
              <w:rPr>
                <w:rFonts w:hint="eastAsia" w:ascii="宋体" w:hAnsi="宋体"/>
                <w:szCs w:val="21"/>
                <w:lang w:val="en-US" w:eastAsia="zh-CN"/>
              </w:rPr>
              <w:t>变更策划</w:t>
            </w:r>
          </w:p>
        </w:tc>
        <w:tc>
          <w:tcPr>
            <w:tcW w:w="960" w:type="dxa"/>
          </w:tcPr>
          <w:p>
            <w:pPr>
              <w:spacing w:line="360" w:lineRule="auto"/>
              <w:rPr>
                <w:rFonts w:hint="eastAsia" w:ascii="宋体" w:hAnsi="宋体" w:eastAsia="宋体"/>
                <w:szCs w:val="21"/>
                <w:lang w:eastAsia="zh-CN"/>
              </w:rPr>
            </w:pPr>
            <w:r>
              <w:rPr>
                <w:rFonts w:ascii="宋体" w:hAnsi="宋体"/>
                <w:szCs w:val="21"/>
              </w:rPr>
              <w:t>Q</w:t>
            </w:r>
            <w:r>
              <w:rPr>
                <w:rFonts w:hint="eastAsia" w:ascii="宋体" w:hAnsi="宋体"/>
                <w:szCs w:val="21"/>
              </w:rPr>
              <w:t>6.</w:t>
            </w:r>
            <w:r>
              <w:rPr>
                <w:rFonts w:hint="eastAsia" w:ascii="宋体" w:hAnsi="宋体"/>
                <w:szCs w:val="21"/>
                <w:lang w:val="en-US" w:eastAsia="zh-CN"/>
              </w:rPr>
              <w:t>3</w:t>
            </w:r>
          </w:p>
        </w:tc>
        <w:tc>
          <w:tcPr>
            <w:tcW w:w="10004" w:type="dxa"/>
          </w:tcPr>
          <w:p>
            <w:pPr>
              <w:spacing w:line="360" w:lineRule="auto"/>
              <w:rPr>
                <w:rFonts w:hint="default" w:ascii="宋体" w:hAnsi="宋体" w:eastAsia="宋体"/>
                <w:sz w:val="24"/>
                <w:lang w:val="en-US" w:eastAsia="zh-CN"/>
              </w:rPr>
            </w:pPr>
            <w:r>
              <w:rPr>
                <w:rFonts w:hint="eastAsia" w:ascii="宋体" w:hAnsi="宋体"/>
                <w:sz w:val="24"/>
                <w:lang w:val="en-US" w:eastAsia="zh-CN"/>
              </w:rPr>
              <w:t>在《管理手册》中6.3条款 有变更策划要求，目前公司体系于2021年至今，尚未发生变更。</w:t>
            </w:r>
          </w:p>
        </w:tc>
        <w:tc>
          <w:tcPr>
            <w:tcW w:w="1585" w:type="dxa"/>
          </w:tcPr>
          <w:p>
            <w:pPr>
              <w:spacing w:line="360" w:lineRule="auto"/>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2160" w:type="dxa"/>
          </w:tcPr>
          <w:p>
            <w:pPr>
              <w:spacing w:line="360" w:lineRule="auto"/>
              <w:rPr>
                <w:rFonts w:hint="eastAsia" w:ascii="宋体" w:hAnsi="宋体"/>
                <w:szCs w:val="21"/>
                <w:lang w:val="en-US" w:eastAsia="zh-CN"/>
              </w:rPr>
            </w:pPr>
          </w:p>
          <w:p>
            <w:pPr>
              <w:spacing w:line="360" w:lineRule="auto"/>
              <w:rPr>
                <w:rFonts w:hint="eastAsia" w:ascii="宋体" w:hAnsi="宋体"/>
                <w:szCs w:val="21"/>
                <w:lang w:val="en-US" w:eastAsia="zh-CN"/>
              </w:rPr>
            </w:pPr>
          </w:p>
          <w:p>
            <w:pPr>
              <w:spacing w:line="360" w:lineRule="auto"/>
              <w:rPr>
                <w:rFonts w:hint="default" w:ascii="宋体" w:hAnsi="宋体" w:eastAsia="宋体"/>
                <w:szCs w:val="21"/>
                <w:lang w:val="en-US" w:eastAsia="zh-CN"/>
              </w:rPr>
            </w:pPr>
            <w:r>
              <w:rPr>
                <w:rFonts w:hint="eastAsia" w:ascii="宋体" w:hAnsi="宋体"/>
                <w:szCs w:val="21"/>
                <w:lang w:val="en-US" w:eastAsia="zh-CN"/>
              </w:rPr>
              <w:t>资源配置</w:t>
            </w:r>
          </w:p>
        </w:tc>
        <w:tc>
          <w:tcPr>
            <w:tcW w:w="960" w:type="dxa"/>
          </w:tcPr>
          <w:p>
            <w:pPr>
              <w:spacing w:before="120" w:line="360" w:lineRule="auto"/>
              <w:rPr>
                <w:rFonts w:ascii="宋体" w:hAnsi="宋体"/>
                <w:szCs w:val="21"/>
              </w:rPr>
            </w:pPr>
          </w:p>
          <w:p>
            <w:pPr>
              <w:spacing w:before="120" w:line="360" w:lineRule="auto"/>
              <w:rPr>
                <w:rFonts w:hint="eastAsia" w:ascii="宋体" w:hAnsi="宋体" w:eastAsia="宋体"/>
                <w:szCs w:val="21"/>
                <w:lang w:eastAsia="zh-CN"/>
              </w:rPr>
            </w:pPr>
            <w:r>
              <w:rPr>
                <w:rFonts w:ascii="宋体" w:hAnsi="宋体"/>
                <w:szCs w:val="21"/>
              </w:rPr>
              <w:t>Q</w:t>
            </w:r>
            <w:r>
              <w:rPr>
                <w:rFonts w:hint="eastAsia" w:ascii="宋体" w:hAnsi="宋体"/>
                <w:szCs w:val="21"/>
              </w:rPr>
              <w:t>7.1.</w:t>
            </w:r>
            <w:r>
              <w:rPr>
                <w:rFonts w:hint="eastAsia" w:ascii="宋体" w:hAnsi="宋体"/>
                <w:szCs w:val="21"/>
                <w:lang w:val="en-US" w:eastAsia="zh-CN"/>
              </w:rPr>
              <w:t>1</w:t>
            </w:r>
          </w:p>
          <w:p>
            <w:pPr>
              <w:spacing w:line="360" w:lineRule="auto"/>
              <w:rPr>
                <w:rFonts w:ascii="宋体" w:hAnsi="宋体"/>
                <w:szCs w:val="21"/>
              </w:rPr>
            </w:pPr>
          </w:p>
        </w:tc>
        <w:tc>
          <w:tcPr>
            <w:tcW w:w="10004" w:type="dxa"/>
          </w:tcPr>
          <w:p>
            <w:pPr>
              <w:spacing w:line="360" w:lineRule="auto"/>
              <w:rPr>
                <w:rFonts w:hint="eastAsia" w:ascii="宋体" w:hAnsi="宋体"/>
                <w:color w:val="auto"/>
                <w:sz w:val="24"/>
                <w:lang w:val="en-US" w:eastAsia="zh-CN"/>
              </w:rPr>
            </w:pPr>
            <w:r>
              <w:rPr>
                <w:rFonts w:hint="eastAsia" w:ascii="宋体" w:hAnsi="宋体"/>
                <w:color w:val="auto"/>
                <w:sz w:val="24"/>
                <w:lang w:val="en-US" w:eastAsia="zh-CN"/>
              </w:rPr>
              <w:t>查：</w:t>
            </w:r>
            <w:r>
              <w:rPr>
                <w:rFonts w:hint="default" w:ascii="宋体" w:hAnsi="宋体"/>
                <w:color w:val="auto"/>
                <w:sz w:val="24"/>
                <w:lang w:val="en-US"/>
              </w:rPr>
              <w:t>为更好的为顾客服务，让顾客满意，公司注册资金</w:t>
            </w:r>
            <w:r>
              <w:rPr>
                <w:rFonts w:hint="eastAsia" w:ascii="宋体" w:hAnsi="宋体"/>
                <w:color w:val="auto"/>
                <w:sz w:val="24"/>
                <w:lang w:val="en-US" w:eastAsia="zh-CN"/>
              </w:rPr>
              <w:t>10</w:t>
            </w:r>
            <w:r>
              <w:rPr>
                <w:rFonts w:hint="default" w:ascii="宋体" w:hAnsi="宋体"/>
                <w:color w:val="auto"/>
                <w:sz w:val="24"/>
                <w:lang w:val="en-US"/>
              </w:rPr>
              <w:t>0万元，</w:t>
            </w:r>
            <w:r>
              <w:rPr>
                <w:rFonts w:hint="eastAsia" w:ascii="宋体" w:hAnsi="宋体"/>
                <w:color w:val="auto"/>
                <w:sz w:val="24"/>
                <w:lang w:val="en-US" w:eastAsia="zh-CN"/>
              </w:rPr>
              <w:t>生产</w:t>
            </w:r>
            <w:r>
              <w:rPr>
                <w:rFonts w:hint="default" w:ascii="宋体" w:hAnsi="宋体"/>
                <w:color w:val="auto"/>
                <w:sz w:val="24"/>
                <w:lang w:val="en-US"/>
              </w:rPr>
              <w:t>区域</w:t>
            </w:r>
            <w:r>
              <w:rPr>
                <w:rFonts w:hint="eastAsia" w:ascii="宋体" w:hAnsi="宋体"/>
                <w:color w:val="auto"/>
                <w:sz w:val="24"/>
                <w:lang w:val="en-US" w:eastAsia="zh-CN"/>
              </w:rPr>
              <w:t>300</w:t>
            </w:r>
            <w:r>
              <w:rPr>
                <w:rFonts w:hint="default" w:ascii="宋体" w:hAnsi="宋体"/>
                <w:color w:val="auto"/>
                <w:sz w:val="24"/>
                <w:lang w:val="en-US"/>
              </w:rPr>
              <w:t>多平米，提供了良好的办</w:t>
            </w:r>
            <w:r>
              <w:rPr>
                <w:rFonts w:hint="default" w:ascii="宋体" w:hAnsi="宋体"/>
                <w:color w:val="auto"/>
                <w:sz w:val="24"/>
                <w:lang w:val="en-US" w:eastAsia="zh-CN"/>
              </w:rPr>
              <w:t>公环境和较为充分基础设施设备，公司目前</w:t>
            </w:r>
            <w:r>
              <w:rPr>
                <w:rFonts w:hint="eastAsia" w:ascii="宋体" w:hAnsi="宋体"/>
                <w:color w:val="auto"/>
                <w:sz w:val="24"/>
                <w:lang w:val="en-US" w:eastAsia="zh-CN"/>
              </w:rPr>
              <w:t>10</w:t>
            </w:r>
            <w:r>
              <w:rPr>
                <w:rFonts w:hint="default" w:ascii="宋体" w:hAnsi="宋体"/>
                <w:color w:val="auto"/>
                <w:sz w:val="24"/>
                <w:lang w:val="en-US" w:eastAsia="zh-CN"/>
              </w:rPr>
              <w:t>人，提供了基本的技术保障</w:t>
            </w:r>
            <w:r>
              <w:rPr>
                <w:rFonts w:hint="eastAsia" w:ascii="宋体" w:hAnsi="宋体"/>
                <w:color w:val="auto"/>
                <w:sz w:val="24"/>
                <w:lang w:val="en-US" w:eastAsia="zh-CN"/>
              </w:rPr>
              <w:t>。</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提供设备设施：电脑8台、工业交换机、CPU控制器、变频器、智能变送器、热电阻、游标卡尺、万用表等；等</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技术人员：助理工程师等，详见Q7.2</w:t>
            </w:r>
          </w:p>
          <w:p>
            <w:pPr>
              <w:spacing w:line="360" w:lineRule="auto"/>
              <w:rPr>
                <w:rFonts w:hint="default" w:ascii="宋体" w:hAnsi="宋体"/>
                <w:color w:val="auto"/>
                <w:sz w:val="24"/>
                <w:lang w:val="en-US" w:eastAsia="zh-CN"/>
              </w:rPr>
            </w:pPr>
            <w:r>
              <w:rPr>
                <w:rFonts w:hint="eastAsia" w:ascii="宋体" w:hAnsi="宋体"/>
                <w:color w:val="auto"/>
                <w:sz w:val="24"/>
                <w:lang w:val="en-US" w:eastAsia="zh-CN"/>
              </w:rPr>
              <w:t>厂房为租赁厂房，查厂房租赁合同，合同在有效期内。</w:t>
            </w:r>
          </w:p>
        </w:tc>
        <w:tc>
          <w:tcPr>
            <w:tcW w:w="1585" w:type="dxa"/>
          </w:tcPr>
          <w:p>
            <w:pPr>
              <w:spacing w:line="360" w:lineRule="auto"/>
              <w:rPr>
                <w:sz w:val="24"/>
              </w:rPr>
            </w:pPr>
          </w:p>
          <w:p>
            <w:pPr>
              <w:spacing w:line="360" w:lineRule="auto"/>
              <w:rPr>
                <w:sz w:val="24"/>
              </w:rPr>
            </w:pPr>
            <w:r>
              <w:rPr>
                <w:rFonts w:hint="eastAsia"/>
                <w:sz w:val="24"/>
                <w:lang w:val="en-US" w:eastAsia="zh-CN"/>
              </w:rPr>
              <w:t>符合</w:t>
            </w: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spacing w:line="360" w:lineRule="auto"/>
              <w:rPr>
                <w:rFonts w:ascii="宋体" w:hAnsi="宋体"/>
                <w:szCs w:val="21"/>
              </w:rPr>
            </w:pPr>
            <w:r>
              <w:rPr>
                <w:rFonts w:hint="eastAsia" w:ascii="宋体" w:hAnsi="宋体"/>
                <w:szCs w:val="21"/>
              </w:rPr>
              <w:t>沟通</w:t>
            </w:r>
          </w:p>
        </w:tc>
        <w:tc>
          <w:tcPr>
            <w:tcW w:w="960" w:type="dxa"/>
          </w:tcPr>
          <w:p>
            <w:pPr>
              <w:spacing w:before="120" w:line="360" w:lineRule="auto"/>
              <w:rPr>
                <w:rFonts w:ascii="宋体" w:hAnsi="宋体"/>
                <w:szCs w:val="21"/>
              </w:rPr>
            </w:pPr>
            <w:r>
              <w:rPr>
                <w:rFonts w:hint="eastAsia" w:ascii="宋体" w:hAnsi="宋体"/>
                <w:szCs w:val="21"/>
              </w:rPr>
              <w:t>Q</w:t>
            </w:r>
            <w:r>
              <w:rPr>
                <w:rFonts w:ascii="宋体" w:hAnsi="宋体"/>
                <w:szCs w:val="21"/>
              </w:rPr>
              <w:t>7.4</w:t>
            </w:r>
          </w:p>
        </w:tc>
        <w:tc>
          <w:tcPr>
            <w:tcW w:w="10004" w:type="dxa"/>
          </w:tcPr>
          <w:p>
            <w:pPr>
              <w:spacing w:line="360" w:lineRule="auto"/>
              <w:rPr>
                <w:rFonts w:ascii="宋体" w:hAnsi="宋体"/>
                <w:sz w:val="24"/>
              </w:rPr>
            </w:pPr>
            <w:r>
              <w:rPr>
                <w:rFonts w:hint="eastAsia" w:ascii="宋体" w:hAnsi="宋体"/>
                <w:sz w:val="24"/>
                <w:lang w:val="en-US" w:eastAsia="zh-CN"/>
              </w:rPr>
              <w:t>编辑了</w:t>
            </w:r>
            <w:r>
              <w:rPr>
                <w:rFonts w:hint="eastAsia" w:ascii="宋体" w:hAnsi="宋体"/>
                <w:sz w:val="24"/>
              </w:rPr>
              <w:t>《信息交流沟通控制程序》</w:t>
            </w:r>
            <w:r>
              <w:rPr>
                <w:rFonts w:hint="eastAsia" w:ascii="宋体" w:hAnsi="宋体"/>
                <w:sz w:val="24"/>
                <w:lang w:val="en-US" w:eastAsia="zh-CN"/>
              </w:rPr>
              <w:t>，</w:t>
            </w:r>
            <w:r>
              <w:rPr>
                <w:rFonts w:hint="eastAsia" w:ascii="宋体" w:hAnsi="宋体"/>
                <w:sz w:val="24"/>
              </w:rPr>
              <w:t>公司目前内部沟通过程安排实施如下：</w:t>
            </w:r>
          </w:p>
          <w:p>
            <w:pPr>
              <w:spacing w:line="360" w:lineRule="auto"/>
              <w:rPr>
                <w:rFonts w:hint="eastAsia" w:ascii="宋体" w:hAnsi="宋体"/>
                <w:sz w:val="24"/>
                <w:lang w:val="en-US" w:eastAsia="zh-CN"/>
              </w:rPr>
            </w:pPr>
            <w:r>
              <w:rPr>
                <w:rFonts w:hint="eastAsia" w:ascii="宋体" w:hAnsi="宋体"/>
                <w:sz w:val="24"/>
              </w:rPr>
              <w:t>1．</w:t>
            </w:r>
            <w:r>
              <w:rPr>
                <w:rFonts w:hint="eastAsia" w:ascii="宋体" w:hAnsi="宋体"/>
                <w:sz w:val="24"/>
                <w:lang w:val="en-US" w:eastAsia="zh-CN"/>
              </w:rPr>
              <w:t>内部沟通内容：a）各级人员质量管理意识； c）管理方针、目标、指标及其实施情况；d）质量管理体系职责与权限以及日常运行情况；e）内部审核及管理评审的有关信息；f）适用的法律法规及其他要求；g）各级员工关于质量/相关的意见、建议等等。</w:t>
            </w:r>
          </w:p>
          <w:p>
            <w:pPr>
              <w:spacing w:line="360" w:lineRule="auto"/>
              <w:rPr>
                <w:rFonts w:ascii="宋体" w:hAnsi="宋体"/>
                <w:sz w:val="24"/>
              </w:rPr>
            </w:pPr>
            <w:r>
              <w:rPr>
                <w:rFonts w:hint="eastAsia" w:ascii="宋体" w:hAnsi="宋体"/>
                <w:sz w:val="24"/>
              </w:rPr>
              <w:t>2．</w:t>
            </w:r>
            <w:r>
              <w:rPr>
                <w:rFonts w:hint="eastAsia"/>
                <w:sz w:val="24"/>
              </w:rPr>
              <w:t>外部信息包括：</w:t>
            </w:r>
            <w:r>
              <w:rPr>
                <w:sz w:val="24"/>
              </w:rPr>
              <w:t>a</w:t>
            </w:r>
            <w:r>
              <w:rPr>
                <w:rFonts w:hint="eastAsia"/>
                <w:sz w:val="24"/>
              </w:rPr>
              <w:t>）来自上级主管部门和政府部门的信息；</w:t>
            </w:r>
            <w:r>
              <w:rPr>
                <w:sz w:val="24"/>
              </w:rPr>
              <w:t>b</w:t>
            </w:r>
            <w:r>
              <w:rPr>
                <w:rFonts w:hint="eastAsia"/>
                <w:sz w:val="24"/>
              </w:rPr>
              <w:t>）相关方提出的信息，包括投拆和抱怨；</w:t>
            </w:r>
            <w:r>
              <w:rPr>
                <w:sz w:val="24"/>
              </w:rPr>
              <w:t>c</w:t>
            </w:r>
            <w:r>
              <w:rPr>
                <w:rFonts w:hint="eastAsia"/>
                <w:sz w:val="24"/>
              </w:rPr>
              <w:t>）第三方审核中提出的信息等等。</w:t>
            </w:r>
          </w:p>
          <w:p>
            <w:pPr>
              <w:pStyle w:val="13"/>
              <w:spacing w:line="360" w:lineRule="auto"/>
              <w:rPr>
                <w:rFonts w:hint="default" w:ascii="宋体" w:hAnsi="宋体" w:eastAsia="宋体"/>
                <w:sz w:val="24"/>
                <w:lang w:val="en-US" w:eastAsia="zh-CN"/>
              </w:rPr>
            </w:pPr>
            <w:r>
              <w:rPr>
                <w:rFonts w:hint="eastAsia" w:ascii="宋体" w:hAnsi="宋体"/>
                <w:sz w:val="24"/>
              </w:rPr>
              <w:t>3．</w:t>
            </w:r>
            <w:r>
              <w:rPr>
                <w:rFonts w:hint="eastAsia" w:ascii="宋体" w:hAnsi="宋体"/>
                <w:sz w:val="24"/>
                <w:lang w:val="en-US" w:eastAsia="zh-CN"/>
              </w:rPr>
              <w:t>公司自上而下</w:t>
            </w:r>
            <w:r>
              <w:rPr>
                <w:rFonts w:hint="eastAsia" w:ascii="宋体" w:hAnsi="宋体"/>
                <w:sz w:val="24"/>
              </w:rPr>
              <w:t>通过</w:t>
            </w:r>
            <w:r>
              <w:rPr>
                <w:rFonts w:hint="eastAsia" w:ascii="宋体" w:hAnsi="宋体"/>
                <w:sz w:val="24"/>
                <w:lang w:val="en-US" w:eastAsia="zh-CN"/>
              </w:rPr>
              <w:t>书面资料、会议</w:t>
            </w:r>
            <w:r>
              <w:rPr>
                <w:rFonts w:hint="eastAsia" w:ascii="宋体" w:hAnsi="宋体"/>
                <w:sz w:val="24"/>
                <w:lang w:eastAsia="zh-CN"/>
              </w:rPr>
              <w:t>、</w:t>
            </w:r>
            <w:r>
              <w:rPr>
                <w:rFonts w:hint="eastAsia" w:ascii="宋体" w:hAnsi="宋体"/>
                <w:sz w:val="24"/>
                <w:lang w:val="en-US" w:eastAsia="zh-CN"/>
              </w:rPr>
              <w:t>通知、电话、网络、公告、发文、培训、质量记录</w:t>
            </w:r>
            <w:r>
              <w:rPr>
                <w:rFonts w:hint="eastAsia" w:ascii="宋体" w:hAnsi="宋体"/>
                <w:sz w:val="24"/>
              </w:rPr>
              <w:t>等，实现部门间的信息交流。</w:t>
            </w:r>
          </w:p>
        </w:tc>
        <w:tc>
          <w:tcPr>
            <w:tcW w:w="1585" w:type="dxa"/>
          </w:tcPr>
          <w:p>
            <w:pPr>
              <w:spacing w:line="360" w:lineRule="auto"/>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60" w:lineRule="auto"/>
              <w:rPr>
                <w:rFonts w:hint="default" w:ascii="宋体" w:hAnsi="宋体"/>
                <w:szCs w:val="21"/>
                <w:lang w:val="en-US" w:eastAsia="zh-CN"/>
              </w:rPr>
            </w:pPr>
            <w:r>
              <w:rPr>
                <w:rFonts w:hint="eastAsia" w:ascii="宋体" w:hAnsi="宋体"/>
                <w:szCs w:val="21"/>
                <w:lang w:val="en-US" w:eastAsia="zh-CN"/>
              </w:rPr>
              <w:t>监视测量分析评价</w:t>
            </w:r>
          </w:p>
        </w:tc>
        <w:tc>
          <w:tcPr>
            <w:tcW w:w="960" w:type="dxa"/>
          </w:tcPr>
          <w:p>
            <w:pPr>
              <w:spacing w:before="120" w:line="360" w:lineRule="auto"/>
              <w:rPr>
                <w:rFonts w:hint="default" w:ascii="宋体" w:hAnsi="宋体" w:eastAsia="宋体"/>
                <w:szCs w:val="21"/>
                <w:lang w:val="en-US" w:eastAsia="zh-CN"/>
              </w:rPr>
            </w:pPr>
            <w:r>
              <w:rPr>
                <w:rFonts w:ascii="宋体" w:hAnsi="宋体"/>
                <w:szCs w:val="21"/>
              </w:rPr>
              <w:t>Q</w:t>
            </w:r>
            <w:r>
              <w:rPr>
                <w:rFonts w:hint="eastAsia" w:ascii="宋体" w:hAnsi="宋体"/>
                <w:szCs w:val="21"/>
                <w:lang w:val="en-US" w:eastAsia="zh-CN"/>
              </w:rPr>
              <w:t>9.1.1</w:t>
            </w:r>
          </w:p>
          <w:p>
            <w:pPr>
              <w:spacing w:before="120" w:line="360" w:lineRule="auto"/>
              <w:rPr>
                <w:rFonts w:hint="default" w:ascii="宋体" w:hAnsi="宋体" w:eastAsia="宋体"/>
                <w:color w:val="auto"/>
                <w:szCs w:val="21"/>
                <w:lang w:val="en-US" w:eastAsia="zh-CN"/>
              </w:rPr>
            </w:pPr>
            <w:r>
              <w:rPr>
                <w:rFonts w:ascii="宋体" w:hAnsi="宋体"/>
                <w:color w:val="auto"/>
                <w:szCs w:val="21"/>
              </w:rPr>
              <w:t>Q</w:t>
            </w:r>
            <w:r>
              <w:rPr>
                <w:rFonts w:hint="eastAsia" w:ascii="宋体" w:hAnsi="宋体"/>
                <w:color w:val="auto"/>
                <w:szCs w:val="21"/>
                <w:lang w:val="en-US" w:eastAsia="zh-CN"/>
              </w:rPr>
              <w:t>9.1.3</w:t>
            </w:r>
          </w:p>
          <w:p>
            <w:pPr>
              <w:spacing w:before="120" w:line="360" w:lineRule="auto"/>
              <w:rPr>
                <w:rFonts w:ascii="宋体" w:hAnsi="宋体"/>
                <w:szCs w:val="21"/>
              </w:rPr>
            </w:pPr>
          </w:p>
        </w:tc>
        <w:tc>
          <w:tcPr>
            <w:tcW w:w="10004" w:type="dxa"/>
          </w:tcPr>
          <w:p>
            <w:pPr>
              <w:pStyle w:val="13"/>
              <w:spacing w:line="360" w:lineRule="auto"/>
              <w:rPr>
                <w:rFonts w:hint="default" w:ascii="宋体" w:hAnsi="宋体"/>
                <w:color w:val="000000"/>
                <w:sz w:val="24"/>
                <w:lang w:val="en-US" w:eastAsia="zh-CN"/>
              </w:rPr>
            </w:pPr>
            <w:r>
              <w:rPr>
                <w:rFonts w:hint="eastAsia" w:ascii="宋体" w:hAnsi="宋体"/>
                <w:color w:val="000000"/>
                <w:sz w:val="24"/>
                <w:lang w:val="en-US" w:eastAsia="zh-CN"/>
              </w:rPr>
              <w:t>公司编辑了《</w:t>
            </w:r>
            <w:r>
              <w:rPr>
                <w:rFonts w:hint="eastAsia" w:ascii="宋体" w:hAnsi="宋体" w:cs="Arial"/>
                <w:sz w:val="24"/>
              </w:rPr>
              <w:t>绩效的监测和测量控制程序</w:t>
            </w:r>
            <w:r>
              <w:rPr>
                <w:rFonts w:hint="eastAsia" w:ascii="宋体" w:hAnsi="宋体"/>
                <w:color w:val="000000"/>
                <w:sz w:val="24"/>
                <w:lang w:val="en-US" w:eastAsia="zh-CN"/>
              </w:rPr>
              <w:t>》、《</w:t>
            </w:r>
            <w:r>
              <w:rPr>
                <w:rFonts w:hint="eastAsia" w:ascii="宋体" w:hAnsi="宋体"/>
                <w:sz w:val="24"/>
              </w:rPr>
              <w:t>测量、分析和改进控制程序</w:t>
            </w:r>
            <w:r>
              <w:rPr>
                <w:rFonts w:hint="eastAsia" w:ascii="宋体" w:hAnsi="宋体"/>
                <w:color w:val="000000"/>
                <w:sz w:val="24"/>
                <w:lang w:val="en-US" w:eastAsia="zh-CN"/>
              </w:rPr>
              <w:t>》、《内审控制程序》、《</w:t>
            </w:r>
            <w:r>
              <w:rPr>
                <w:rFonts w:hint="eastAsia" w:ascii="宋体" w:hAnsi="宋体"/>
                <w:kern w:val="0"/>
                <w:sz w:val="24"/>
              </w:rPr>
              <w:t>纠正措施和预防措施控制程序</w:t>
            </w:r>
            <w:r>
              <w:rPr>
                <w:rFonts w:hint="eastAsia" w:ascii="宋体" w:hAnsi="宋体"/>
                <w:color w:val="000000"/>
                <w:sz w:val="24"/>
                <w:lang w:val="en-US" w:eastAsia="zh-CN"/>
              </w:rPr>
              <w:t>》、《</w:t>
            </w:r>
            <w:r>
              <w:rPr>
                <w:rFonts w:hint="eastAsia" w:ascii="宋体" w:hAnsi="宋体"/>
                <w:kern w:val="0"/>
                <w:sz w:val="24"/>
              </w:rPr>
              <w:t>危险源辨识和风险控制策划程序</w:t>
            </w:r>
            <w:r>
              <w:rPr>
                <w:rFonts w:hint="eastAsia" w:ascii="宋体" w:hAnsi="宋体"/>
                <w:color w:val="000000"/>
                <w:sz w:val="24"/>
                <w:lang w:val="en-US" w:eastAsia="zh-CN"/>
              </w:rPr>
              <w:t>》和《管理评审控制程序》等文件规定了</w:t>
            </w:r>
            <w:r>
              <w:rPr>
                <w:rFonts w:hint="eastAsia" w:ascii="宋体" w:hAnsi="宋体"/>
                <w:color w:val="000000"/>
                <w:sz w:val="24"/>
              </w:rPr>
              <w:t>组织办公室等部门针对产品、过程和管理体系符合性和持续改进体系有效性方面所需的监视、测量、分析和改进的方法、频次和记录进行安排并实施，包括适用的统计工具的应用，最终的目的是为了实现符合顾客和法规要求优质</w:t>
            </w:r>
            <w:r>
              <w:rPr>
                <w:rFonts w:hint="eastAsia" w:ascii="宋体" w:hAnsi="宋体"/>
                <w:color w:val="000000"/>
                <w:sz w:val="24"/>
                <w:lang w:val="en-US" w:eastAsia="zh-CN"/>
              </w:rPr>
              <w:t>产品和服务</w:t>
            </w:r>
            <w:r>
              <w:rPr>
                <w:rFonts w:hint="eastAsia" w:ascii="宋体" w:hAnsi="宋体"/>
                <w:color w:val="000000"/>
                <w:sz w:val="24"/>
              </w:rPr>
              <w:t>，确保管理体系持续有效运行</w:t>
            </w:r>
            <w:r>
              <w:rPr>
                <w:rFonts w:hint="eastAsia" w:ascii="宋体" w:hAnsi="宋体"/>
                <w:color w:val="000000"/>
                <w:sz w:val="24"/>
                <w:lang w:val="en-US" w:eastAsia="zh-CN"/>
              </w:rPr>
              <w:t>。</w:t>
            </w:r>
          </w:p>
          <w:p>
            <w:pPr>
              <w:pStyle w:val="13"/>
              <w:spacing w:line="360" w:lineRule="auto"/>
              <w:rPr>
                <w:rFonts w:hint="eastAsia" w:ascii="宋体" w:hAnsi="宋体"/>
                <w:sz w:val="24"/>
              </w:rPr>
            </w:pPr>
            <w:r>
              <w:rPr>
                <w:rFonts w:hint="eastAsia" w:ascii="宋体" w:hAnsi="宋体"/>
                <w:color w:val="000000"/>
                <w:sz w:val="24"/>
              </w:rPr>
              <w:t>在供方业绩、生产过程控制、产品质量的符合性、顾客满意等方面采用统计表或调查表的形式进行数据统计和分析，以证实公司管理体系运行的有效性，以及寻找体系运行过程中存在的薄弱环节，为持续改进管理体系的有效性提供改进依据</w:t>
            </w:r>
          </w:p>
        </w:tc>
        <w:tc>
          <w:tcPr>
            <w:tcW w:w="1585" w:type="dxa"/>
          </w:tcPr>
          <w:p>
            <w:pPr>
              <w:spacing w:line="360" w:lineRule="auto"/>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2160" w:type="dxa"/>
          </w:tcPr>
          <w:p>
            <w:pPr>
              <w:spacing w:before="120" w:line="360" w:lineRule="auto"/>
              <w:rPr>
                <w:rFonts w:hint="eastAsia" w:ascii="宋体" w:hAnsi="宋体" w:eastAsia="宋体"/>
                <w:szCs w:val="21"/>
                <w:lang w:eastAsia="zh-CN"/>
              </w:rPr>
            </w:pPr>
            <w:r>
              <w:rPr>
                <w:rFonts w:hint="eastAsia" w:ascii="宋体" w:hAnsi="宋体"/>
                <w:szCs w:val="21"/>
                <w:lang w:val="en-US" w:eastAsia="zh-CN"/>
              </w:rPr>
              <w:t>管理评审</w:t>
            </w:r>
          </w:p>
        </w:tc>
        <w:tc>
          <w:tcPr>
            <w:tcW w:w="960" w:type="dxa"/>
          </w:tcPr>
          <w:p>
            <w:pPr>
              <w:spacing w:before="120" w:line="360" w:lineRule="auto"/>
              <w:rPr>
                <w:rFonts w:hint="eastAsia" w:ascii="宋体" w:hAnsi="宋体" w:eastAsia="宋体"/>
                <w:szCs w:val="21"/>
                <w:lang w:eastAsia="zh-CN"/>
              </w:rPr>
            </w:pPr>
            <w:r>
              <w:rPr>
                <w:rFonts w:ascii="宋体" w:hAnsi="宋体"/>
                <w:szCs w:val="21"/>
              </w:rPr>
              <w:t>Q9.</w:t>
            </w:r>
            <w:r>
              <w:rPr>
                <w:rFonts w:hint="eastAsia" w:ascii="宋体" w:hAnsi="宋体"/>
                <w:szCs w:val="21"/>
                <w:lang w:val="en-US" w:eastAsia="zh-CN"/>
              </w:rPr>
              <w:t>3</w:t>
            </w:r>
          </w:p>
          <w:p>
            <w:pPr>
              <w:spacing w:before="120" w:line="360" w:lineRule="auto"/>
              <w:rPr>
                <w:rFonts w:ascii="宋体" w:hAnsi="宋体"/>
                <w:szCs w:val="21"/>
              </w:rPr>
            </w:pPr>
          </w:p>
        </w:tc>
        <w:tc>
          <w:tcPr>
            <w:tcW w:w="10004" w:type="dxa"/>
          </w:tcPr>
          <w:p>
            <w:pPr>
              <w:pStyle w:val="13"/>
              <w:spacing w:line="360" w:lineRule="auto"/>
              <w:rPr>
                <w:rFonts w:hint="eastAsia" w:ascii="宋体" w:hAnsi="宋体"/>
                <w:color w:val="000000"/>
                <w:sz w:val="24"/>
              </w:rPr>
            </w:pPr>
            <w:r>
              <w:rPr>
                <w:rFonts w:hint="eastAsia" w:ascii="宋体" w:hAnsi="宋体"/>
                <w:color w:val="000000"/>
                <w:sz w:val="24"/>
              </w:rPr>
              <w:t>编制了&lt;管理评审控制程序&gt;</w:t>
            </w:r>
          </w:p>
          <w:p>
            <w:pPr>
              <w:pStyle w:val="13"/>
              <w:spacing w:line="360" w:lineRule="auto"/>
              <w:rPr>
                <w:rFonts w:hint="eastAsia" w:ascii="宋体" w:hAnsi="宋体"/>
                <w:color w:val="000000"/>
                <w:sz w:val="24"/>
              </w:rPr>
            </w:pPr>
            <w:r>
              <w:rPr>
                <w:rFonts w:hint="eastAsia" w:ascii="宋体" w:hAnsi="宋体"/>
                <w:color w:val="000000"/>
                <w:sz w:val="24"/>
              </w:rPr>
              <w:t>查:&lt;管理评审计划&gt;</w:t>
            </w:r>
          </w:p>
          <w:p>
            <w:pPr>
              <w:pStyle w:val="13"/>
              <w:spacing w:line="360" w:lineRule="auto"/>
              <w:rPr>
                <w:rFonts w:hint="default" w:ascii="宋体" w:hAnsi="宋体" w:eastAsia="宋体"/>
                <w:color w:val="000000"/>
                <w:sz w:val="24"/>
                <w:lang w:val="en-US" w:eastAsia="zh-CN"/>
              </w:rPr>
            </w:pPr>
            <w:r>
              <w:rPr>
                <w:rFonts w:hint="eastAsia" w:ascii="宋体" w:hAnsi="宋体"/>
                <w:color w:val="000000"/>
                <w:sz w:val="24"/>
              </w:rPr>
              <w:t>经审批:</w:t>
            </w:r>
            <w:r>
              <w:rPr>
                <w:rFonts w:hint="eastAsia" w:ascii="宋体" w:hAnsi="宋体"/>
                <w:color w:val="000000"/>
                <w:sz w:val="24"/>
                <w:lang w:val="en-GB"/>
              </w:rPr>
              <w:t>沈晓明</w:t>
            </w:r>
            <w:r>
              <w:rPr>
                <w:rFonts w:hint="eastAsia" w:ascii="宋体" w:hAnsi="宋体"/>
                <w:color w:val="000000"/>
                <w:sz w:val="24"/>
              </w:rPr>
              <w:t>2021.12.</w:t>
            </w:r>
            <w:r>
              <w:rPr>
                <w:rFonts w:hint="eastAsia" w:ascii="宋体" w:hAnsi="宋体"/>
                <w:color w:val="000000"/>
                <w:sz w:val="24"/>
                <w:lang w:val="en-US" w:eastAsia="zh-CN"/>
              </w:rPr>
              <w:t>12</w:t>
            </w:r>
          </w:p>
          <w:p>
            <w:pPr>
              <w:pStyle w:val="13"/>
              <w:spacing w:line="360" w:lineRule="auto"/>
              <w:rPr>
                <w:rFonts w:hint="eastAsia" w:ascii="宋体" w:hAnsi="宋体"/>
                <w:color w:val="000000"/>
                <w:sz w:val="24"/>
              </w:rPr>
            </w:pPr>
            <w:r>
              <w:rPr>
                <w:rFonts w:hint="eastAsia" w:ascii="宋体" w:hAnsi="宋体"/>
                <w:color w:val="000000"/>
                <w:sz w:val="24"/>
              </w:rPr>
              <w:t>计划2021.12.20日进行一次管理评审活动.</w:t>
            </w:r>
          </w:p>
          <w:p>
            <w:pPr>
              <w:pStyle w:val="13"/>
              <w:spacing w:line="360" w:lineRule="auto"/>
              <w:rPr>
                <w:rFonts w:hint="default" w:ascii="宋体" w:hAnsi="宋体" w:eastAsia="宋体"/>
                <w:color w:val="000000"/>
                <w:sz w:val="24"/>
                <w:lang w:val="en-US" w:eastAsia="zh-CN"/>
              </w:rPr>
            </w:pPr>
            <w:r>
              <w:rPr>
                <w:rFonts w:hint="eastAsia" w:ascii="宋体" w:hAnsi="宋体"/>
                <w:color w:val="000000"/>
                <w:sz w:val="24"/>
              </w:rPr>
              <w:t>主持人:</w:t>
            </w:r>
            <w:r>
              <w:rPr>
                <w:rFonts w:hint="eastAsia" w:ascii="宋体" w:hAnsi="宋体"/>
                <w:color w:val="000000"/>
                <w:sz w:val="24"/>
                <w:lang w:val="en-GB"/>
              </w:rPr>
              <w:t>沈晓明</w:t>
            </w:r>
          </w:p>
          <w:p>
            <w:pPr>
              <w:pStyle w:val="13"/>
              <w:spacing w:line="360" w:lineRule="auto"/>
              <w:rPr>
                <w:rFonts w:hint="eastAsia" w:ascii="宋体" w:hAnsi="宋体"/>
                <w:color w:val="000000"/>
                <w:sz w:val="24"/>
              </w:rPr>
            </w:pPr>
            <w:r>
              <w:rPr>
                <w:rFonts w:hint="eastAsia" w:ascii="宋体" w:hAnsi="宋体"/>
                <w:color w:val="000000"/>
                <w:sz w:val="24"/>
              </w:rPr>
              <w:t>参与评审人员:管理者代表</w:t>
            </w:r>
            <w:r>
              <w:rPr>
                <w:rFonts w:hint="eastAsia" w:ascii="宋体" w:hAnsi="宋体"/>
                <w:color w:val="000000"/>
                <w:sz w:val="24"/>
                <w:lang w:val="en-GB"/>
              </w:rPr>
              <w:t>沈晓明</w:t>
            </w:r>
            <w:r>
              <w:rPr>
                <w:rFonts w:hint="eastAsia" w:ascii="宋体" w:hAnsi="宋体"/>
                <w:color w:val="000000"/>
                <w:sz w:val="24"/>
              </w:rPr>
              <w:t>及各部门负责人</w:t>
            </w:r>
          </w:p>
          <w:p>
            <w:pPr>
              <w:pStyle w:val="13"/>
              <w:spacing w:line="360" w:lineRule="auto"/>
              <w:rPr>
                <w:rFonts w:hint="eastAsia" w:ascii="宋体" w:hAnsi="宋体"/>
                <w:color w:val="000000"/>
                <w:sz w:val="24"/>
              </w:rPr>
            </w:pPr>
            <w:r>
              <w:rPr>
                <w:rFonts w:hint="eastAsia" w:ascii="宋体" w:hAnsi="宋体"/>
                <w:color w:val="000000"/>
                <w:sz w:val="24"/>
              </w:rPr>
              <w:t>评审内容:</w:t>
            </w:r>
          </w:p>
          <w:p>
            <w:pPr>
              <w:widowControl/>
              <w:autoSpaceDE w:val="0"/>
              <w:autoSpaceDN w:val="0"/>
              <w:adjustRightInd w:val="0"/>
              <w:spacing w:before="69" w:line="360" w:lineRule="auto"/>
              <w:ind w:left="115"/>
              <w:rPr>
                <w:rFonts w:ascii="宋体" w:hAnsi="宋体"/>
                <w:kern w:val="0"/>
                <w:sz w:val="24"/>
              </w:rPr>
            </w:pPr>
            <w:r>
              <w:rPr>
                <w:rFonts w:hint="eastAsia" w:ascii="宋体" w:hAnsi="宋体"/>
                <w:kern w:val="0"/>
                <w:sz w:val="24"/>
              </w:rPr>
              <w:t>1、内审核结果汇报；</w:t>
            </w:r>
          </w:p>
          <w:p>
            <w:pPr>
              <w:widowControl/>
              <w:autoSpaceDE w:val="0"/>
              <w:autoSpaceDN w:val="0"/>
              <w:adjustRightInd w:val="0"/>
              <w:spacing w:before="69" w:line="360" w:lineRule="auto"/>
              <w:ind w:left="115"/>
              <w:rPr>
                <w:rFonts w:ascii="宋体" w:hAnsi="宋体"/>
                <w:kern w:val="0"/>
                <w:sz w:val="24"/>
              </w:rPr>
            </w:pPr>
            <w:r>
              <w:rPr>
                <w:rFonts w:hint="eastAsia" w:ascii="宋体" w:hAnsi="宋体"/>
                <w:kern w:val="0"/>
                <w:sz w:val="24"/>
              </w:rPr>
              <w:t>2. 与质量管理体系相关的内外部因素的变化</w:t>
            </w:r>
          </w:p>
          <w:p>
            <w:pPr>
              <w:widowControl/>
              <w:autoSpaceDE w:val="0"/>
              <w:autoSpaceDN w:val="0"/>
              <w:adjustRightInd w:val="0"/>
              <w:spacing w:before="69" w:line="360" w:lineRule="auto"/>
              <w:ind w:left="115"/>
              <w:rPr>
                <w:rFonts w:ascii="宋体" w:hAnsi="宋体"/>
                <w:kern w:val="0"/>
                <w:sz w:val="24"/>
              </w:rPr>
            </w:pPr>
            <w:r>
              <w:rPr>
                <w:rFonts w:hint="eastAsia" w:ascii="宋体" w:hAnsi="宋体"/>
                <w:kern w:val="0"/>
                <w:sz w:val="24"/>
              </w:rPr>
              <w:t>3. 评审期内相关方反馈情况；</w:t>
            </w:r>
          </w:p>
          <w:p>
            <w:pPr>
              <w:widowControl/>
              <w:autoSpaceDE w:val="0"/>
              <w:autoSpaceDN w:val="0"/>
              <w:adjustRightInd w:val="0"/>
              <w:spacing w:before="69" w:line="360" w:lineRule="auto"/>
              <w:ind w:left="115"/>
              <w:rPr>
                <w:rFonts w:ascii="宋体" w:hAnsi="宋体"/>
                <w:kern w:val="0"/>
                <w:sz w:val="24"/>
              </w:rPr>
            </w:pPr>
            <w:r>
              <w:rPr>
                <w:rFonts w:hint="eastAsia" w:ascii="宋体" w:hAnsi="宋体"/>
                <w:kern w:val="0"/>
                <w:sz w:val="24"/>
              </w:rPr>
              <w:t>4. 各部门目标趋势情况及实现程度；</w:t>
            </w:r>
          </w:p>
          <w:p>
            <w:pPr>
              <w:widowControl/>
              <w:autoSpaceDE w:val="0"/>
              <w:autoSpaceDN w:val="0"/>
              <w:adjustRightInd w:val="0"/>
              <w:spacing w:before="69" w:line="360" w:lineRule="auto"/>
              <w:ind w:left="115"/>
              <w:rPr>
                <w:rFonts w:ascii="宋体" w:hAnsi="宋体"/>
                <w:kern w:val="0"/>
                <w:sz w:val="24"/>
              </w:rPr>
            </w:pPr>
            <w:r>
              <w:rPr>
                <w:rFonts w:hint="eastAsia" w:ascii="宋体" w:hAnsi="宋体"/>
                <w:kern w:val="0"/>
                <w:sz w:val="24"/>
              </w:rPr>
              <w:t>5. 评审期内业绩和技术服务的符合性；</w:t>
            </w:r>
          </w:p>
          <w:p>
            <w:pPr>
              <w:widowControl/>
              <w:autoSpaceDE w:val="0"/>
              <w:autoSpaceDN w:val="0"/>
              <w:adjustRightInd w:val="0"/>
              <w:spacing w:before="69" w:line="360" w:lineRule="auto"/>
              <w:ind w:left="115" w:leftChars="55" w:firstLine="360" w:firstLineChars="150"/>
              <w:rPr>
                <w:rFonts w:ascii="宋体" w:hAnsi="宋体"/>
                <w:kern w:val="0"/>
                <w:sz w:val="24"/>
              </w:rPr>
            </w:pPr>
            <w:r>
              <w:rPr>
                <w:rFonts w:hint="eastAsia" w:ascii="宋体" w:hAnsi="宋体"/>
                <w:kern w:val="0"/>
                <w:sz w:val="24"/>
              </w:rPr>
              <w:t>技术服务符合性，即技术服务符合有关的要求情况，质量问题及采取的措施</w:t>
            </w:r>
          </w:p>
          <w:p>
            <w:pPr>
              <w:widowControl/>
              <w:autoSpaceDE w:val="0"/>
              <w:autoSpaceDN w:val="0"/>
              <w:adjustRightInd w:val="0"/>
              <w:spacing w:before="69" w:line="360" w:lineRule="auto"/>
              <w:ind w:left="115"/>
              <w:rPr>
                <w:rFonts w:ascii="宋体" w:hAnsi="宋体"/>
                <w:kern w:val="0"/>
                <w:sz w:val="24"/>
              </w:rPr>
            </w:pPr>
            <w:r>
              <w:rPr>
                <w:rFonts w:hint="eastAsia" w:ascii="宋体" w:hAnsi="宋体"/>
                <w:kern w:val="0"/>
                <w:sz w:val="24"/>
              </w:rPr>
              <w:t>6. 评审期内纠正和预防措施的实施情况；</w:t>
            </w:r>
          </w:p>
          <w:p>
            <w:pPr>
              <w:spacing w:before="100" w:after="100" w:line="360" w:lineRule="auto"/>
              <w:ind w:firstLine="120" w:firstLineChars="50"/>
              <w:rPr>
                <w:rFonts w:ascii="黑体" w:eastAsia="黑体"/>
                <w:sz w:val="24"/>
              </w:rPr>
            </w:pPr>
            <w:r>
              <w:rPr>
                <w:rFonts w:hint="eastAsia" w:ascii="宋体" w:hAnsi="宋体"/>
                <w:kern w:val="0"/>
                <w:sz w:val="24"/>
              </w:rPr>
              <w:t>7. 监视和测量结果；</w:t>
            </w:r>
          </w:p>
          <w:p>
            <w:pPr>
              <w:spacing w:before="100" w:after="100" w:line="360" w:lineRule="auto"/>
              <w:ind w:firstLine="120" w:firstLineChars="50"/>
              <w:rPr>
                <w:rFonts w:ascii="宋体" w:hAnsi="宋体"/>
                <w:kern w:val="0"/>
                <w:sz w:val="24"/>
              </w:rPr>
            </w:pPr>
            <w:r>
              <w:rPr>
                <w:rFonts w:hint="eastAsia" w:ascii="黑体" w:eastAsia="黑体"/>
                <w:sz w:val="24"/>
              </w:rPr>
              <w:t>8.</w:t>
            </w:r>
            <w:r>
              <w:rPr>
                <w:rFonts w:hint="eastAsia" w:ascii="宋体" w:hAnsi="宋体"/>
                <w:kern w:val="0"/>
                <w:sz w:val="24"/>
              </w:rPr>
              <w:t>质量管理体系实现质量目标的有效性；</w:t>
            </w:r>
          </w:p>
          <w:p>
            <w:pPr>
              <w:widowControl/>
              <w:autoSpaceDE w:val="0"/>
              <w:autoSpaceDN w:val="0"/>
              <w:adjustRightInd w:val="0"/>
              <w:spacing w:before="69" w:line="360" w:lineRule="auto"/>
              <w:ind w:left="115"/>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外部供方绩效；</w:t>
            </w:r>
          </w:p>
          <w:p>
            <w:pPr>
              <w:widowControl/>
              <w:autoSpaceDE w:val="0"/>
              <w:autoSpaceDN w:val="0"/>
              <w:adjustRightInd w:val="0"/>
              <w:spacing w:before="69" w:line="360" w:lineRule="auto"/>
              <w:ind w:left="115"/>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应对风险和机遇所采取措施的有效性；</w:t>
            </w:r>
          </w:p>
          <w:p>
            <w:pPr>
              <w:pStyle w:val="13"/>
              <w:spacing w:line="360" w:lineRule="auto"/>
              <w:rPr>
                <w:rFonts w:hint="eastAsia" w:ascii="宋体" w:hAnsi="宋体"/>
                <w:kern w:val="0"/>
                <w:sz w:val="24"/>
              </w:rPr>
            </w:pPr>
            <w:r>
              <w:rPr>
                <w:rFonts w:hint="eastAsia" w:ascii="宋体" w:hAnsi="宋体"/>
                <w:kern w:val="0"/>
                <w:sz w:val="24"/>
                <w:lang w:val="en-US" w:eastAsia="zh-CN"/>
              </w:rPr>
              <w:t>11</w:t>
            </w:r>
            <w:r>
              <w:rPr>
                <w:rFonts w:hint="eastAsia" w:ascii="宋体" w:hAnsi="宋体"/>
                <w:kern w:val="0"/>
                <w:sz w:val="24"/>
              </w:rPr>
              <w:t>.改进的机会；</w:t>
            </w:r>
          </w:p>
          <w:p>
            <w:pPr>
              <w:pStyle w:val="13"/>
              <w:spacing w:line="360" w:lineRule="auto"/>
              <w:rPr>
                <w:rFonts w:hint="eastAsia" w:ascii="宋体" w:hAnsi="宋体"/>
                <w:color w:val="000000"/>
                <w:sz w:val="24"/>
              </w:rPr>
            </w:pPr>
            <w:r>
              <w:rPr>
                <w:rFonts w:hint="eastAsia" w:ascii="宋体" w:hAnsi="宋体"/>
                <w:color w:val="000000"/>
                <w:sz w:val="24"/>
              </w:rPr>
              <w:t>查：《</w:t>
            </w:r>
            <w:r>
              <w:rPr>
                <w:rFonts w:hint="eastAsia" w:ascii="宋体" w:hAnsi="宋体"/>
                <w:color w:val="000000"/>
                <w:sz w:val="24"/>
                <w:lang w:val="en-US" w:eastAsia="zh-CN"/>
              </w:rPr>
              <w:t>管理评审会议记录</w:t>
            </w:r>
            <w:r>
              <w:rPr>
                <w:rFonts w:hint="eastAsia" w:ascii="宋体" w:hAnsi="宋体"/>
                <w:color w:val="000000"/>
                <w:sz w:val="24"/>
              </w:rPr>
              <w:t>》，记录较为简单，符合计划的安排，基本符合标准条款要求。</w:t>
            </w:r>
          </w:p>
          <w:p>
            <w:pPr>
              <w:pStyle w:val="13"/>
              <w:spacing w:line="360" w:lineRule="auto"/>
              <w:rPr>
                <w:rFonts w:hint="eastAsia" w:ascii="宋体" w:hAnsi="宋体"/>
                <w:color w:val="000000"/>
                <w:sz w:val="24"/>
              </w:rPr>
            </w:pPr>
            <w:r>
              <w:rPr>
                <w:rFonts w:hint="eastAsia" w:ascii="宋体" w:hAnsi="宋体"/>
                <w:color w:val="000000"/>
                <w:sz w:val="24"/>
              </w:rPr>
              <w:t>查见：管理评审会议记录及有各部门的管理体系总结报告；</w:t>
            </w:r>
          </w:p>
          <w:p>
            <w:pPr>
              <w:pStyle w:val="13"/>
              <w:spacing w:line="360" w:lineRule="auto"/>
              <w:rPr>
                <w:rFonts w:hint="default" w:ascii="宋体" w:hAnsi="宋体" w:eastAsia="宋体"/>
                <w:color w:val="000000"/>
                <w:sz w:val="24"/>
                <w:lang w:val="en-US" w:eastAsia="zh-CN"/>
              </w:rPr>
            </w:pPr>
            <w:r>
              <w:rPr>
                <w:rFonts w:hint="eastAsia" w:ascii="宋体" w:hAnsi="宋体"/>
                <w:color w:val="000000"/>
                <w:sz w:val="24"/>
              </w:rPr>
              <w:t>查见：《管理评审报告》，批准：</w:t>
            </w:r>
            <w:r>
              <w:rPr>
                <w:rFonts w:hint="eastAsia" w:ascii="宋体" w:hAnsi="宋体"/>
                <w:color w:val="000000"/>
                <w:sz w:val="24"/>
                <w:lang w:val="en-GB"/>
              </w:rPr>
              <w:t>沈晓明</w:t>
            </w:r>
            <w:r>
              <w:rPr>
                <w:rFonts w:hint="eastAsia" w:ascii="宋体" w:hAnsi="宋体" w:cs="宋体"/>
                <w:bCs/>
                <w:sz w:val="24"/>
              </w:rPr>
              <w:t>2021.12.20</w:t>
            </w:r>
          </w:p>
          <w:p>
            <w:pPr>
              <w:pStyle w:val="13"/>
              <w:spacing w:line="360" w:lineRule="auto"/>
              <w:rPr>
                <w:rFonts w:hint="eastAsia" w:ascii="宋体" w:hAnsi="宋体"/>
                <w:color w:val="000000"/>
                <w:sz w:val="24"/>
              </w:rPr>
            </w:pPr>
            <w:r>
              <w:rPr>
                <w:rFonts w:hint="eastAsia" w:ascii="宋体" w:hAnsi="宋体"/>
                <w:color w:val="000000"/>
                <w:sz w:val="24"/>
              </w:rPr>
              <w:t>管评结论：</w:t>
            </w:r>
          </w:p>
          <w:p>
            <w:pPr>
              <w:pStyle w:val="13"/>
              <w:spacing w:line="360" w:lineRule="auto"/>
              <w:rPr>
                <w:rFonts w:hint="eastAsia" w:ascii="宋体" w:hAnsi="宋体"/>
                <w:color w:val="000000"/>
                <w:sz w:val="24"/>
              </w:rPr>
            </w:pPr>
            <w:r>
              <w:rPr>
                <w:rFonts w:hint="eastAsia" w:ascii="宋体" w:hAnsi="宋体"/>
                <w:sz w:val="24"/>
                <w:szCs w:val="21"/>
              </w:rPr>
              <w:t>综上所述本公司的质量方针、目标基本上符合技术服务的要求、顾客的要求和持续改进的要求，各部门均制定了质量分目标并认真实施，从而确保本公司质量方针、目标的实现、质量手册符合所依据的标准的要求、相关法律法规要求和本公司的实际情况，是适宜的。</w:t>
            </w:r>
            <w:r>
              <w:rPr>
                <w:rFonts w:hint="eastAsia" w:ascii="宋体" w:hAnsi="宋体"/>
                <w:color w:val="000000"/>
                <w:sz w:val="24"/>
              </w:rPr>
              <w:t>。</w:t>
            </w:r>
          </w:p>
          <w:p>
            <w:pPr>
              <w:pStyle w:val="13"/>
              <w:spacing w:line="360" w:lineRule="auto"/>
              <w:rPr>
                <w:rFonts w:hint="eastAsia" w:ascii="宋体" w:hAnsi="宋体"/>
                <w:color w:val="000000"/>
                <w:sz w:val="24"/>
              </w:rPr>
            </w:pPr>
            <w:r>
              <w:rPr>
                <w:rFonts w:hint="eastAsia" w:ascii="宋体" w:hAnsi="宋体"/>
                <w:color w:val="000000"/>
                <w:sz w:val="24"/>
                <w:lang w:val="en-US" w:eastAsia="zh-CN"/>
              </w:rPr>
              <w:t>查</w:t>
            </w:r>
            <w:r>
              <w:rPr>
                <w:rFonts w:hint="eastAsia" w:ascii="宋体" w:hAnsi="宋体"/>
                <w:color w:val="000000"/>
                <w:sz w:val="24"/>
              </w:rPr>
              <w:t>管理评审</w:t>
            </w:r>
            <w:r>
              <w:rPr>
                <w:rFonts w:hint="eastAsia" w:ascii="宋体" w:hAnsi="宋体"/>
                <w:color w:val="000000"/>
                <w:sz w:val="24"/>
                <w:lang w:val="en-US" w:eastAsia="zh-CN"/>
              </w:rPr>
              <w:t>持续改进计划</w:t>
            </w:r>
            <w:r>
              <w:rPr>
                <w:rFonts w:hint="eastAsia" w:ascii="宋体" w:hAnsi="宋体"/>
                <w:color w:val="000000"/>
                <w:sz w:val="24"/>
              </w:rPr>
              <w:t>：</w:t>
            </w:r>
          </w:p>
          <w:p>
            <w:pPr>
              <w:pStyle w:val="13"/>
              <w:spacing w:line="360" w:lineRule="auto"/>
              <w:rPr>
                <w:rFonts w:hint="eastAsia" w:ascii="宋体" w:hAnsi="宋体"/>
                <w:sz w:val="24"/>
              </w:rPr>
            </w:pPr>
            <w:r>
              <w:rPr>
                <w:rFonts w:hint="eastAsia" w:ascii="宋体" w:hAnsi="宋体"/>
                <w:sz w:val="24"/>
              </w:rPr>
              <w:t>①公司根据发展需要增加1名销售人员。</w:t>
            </w:r>
          </w:p>
          <w:p>
            <w:pPr>
              <w:pStyle w:val="13"/>
              <w:spacing w:line="360" w:lineRule="auto"/>
              <w:rPr>
                <w:rFonts w:hint="eastAsia" w:ascii="宋体" w:hAnsi="宋体" w:eastAsia="宋体"/>
                <w:color w:val="000000"/>
                <w:sz w:val="24"/>
                <w:lang w:val="en-US" w:eastAsia="zh-CN"/>
              </w:rPr>
            </w:pPr>
            <w:r>
              <w:rPr>
                <w:rFonts w:hint="eastAsia" w:ascii="宋体" w:hAnsi="宋体"/>
                <w:sz w:val="24"/>
              </w:rPr>
              <w:t>②对各部门负责人进行风险评估方法的培训</w:t>
            </w:r>
            <w:r>
              <w:rPr>
                <w:rFonts w:hint="eastAsia" w:ascii="宋体" w:hAnsi="宋体"/>
                <w:sz w:val="24"/>
                <w:lang w:val="en-US" w:eastAsia="zh-CN"/>
              </w:rPr>
              <w:t>.</w:t>
            </w:r>
          </w:p>
        </w:tc>
        <w:tc>
          <w:tcPr>
            <w:tcW w:w="1585" w:type="dxa"/>
          </w:tcPr>
          <w:p>
            <w:pPr>
              <w:spacing w:line="360" w:lineRule="auto"/>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spacing w:before="120" w:line="360" w:lineRule="auto"/>
              <w:rPr>
                <w:rFonts w:hint="default" w:ascii="宋体" w:hAnsi="宋体"/>
                <w:szCs w:val="21"/>
                <w:lang w:val="en-US" w:eastAsia="zh-CN"/>
              </w:rPr>
            </w:pPr>
            <w:r>
              <w:rPr>
                <w:rFonts w:hint="eastAsia" w:ascii="宋体" w:hAnsi="宋体"/>
                <w:szCs w:val="21"/>
                <w:lang w:val="en-US" w:eastAsia="zh-CN"/>
              </w:rPr>
              <w:t>改进</w:t>
            </w:r>
          </w:p>
        </w:tc>
        <w:tc>
          <w:tcPr>
            <w:tcW w:w="960" w:type="dxa"/>
          </w:tcPr>
          <w:p>
            <w:pPr>
              <w:spacing w:before="120" w:line="360" w:lineRule="auto"/>
              <w:rPr>
                <w:rFonts w:hint="eastAsia" w:ascii="宋体" w:hAnsi="宋体"/>
                <w:szCs w:val="21"/>
                <w:lang w:val="en-US" w:eastAsia="zh-CN"/>
              </w:rPr>
            </w:pPr>
            <w:r>
              <w:rPr>
                <w:rFonts w:hint="eastAsia" w:ascii="宋体" w:hAnsi="宋体"/>
                <w:szCs w:val="21"/>
                <w:lang w:val="en-US" w:eastAsia="zh-CN"/>
              </w:rPr>
              <w:t>Q10.1</w:t>
            </w:r>
          </w:p>
          <w:p>
            <w:pPr>
              <w:spacing w:before="120" w:line="360" w:lineRule="auto"/>
              <w:rPr>
                <w:rFonts w:hint="default" w:ascii="宋体" w:hAnsi="宋体" w:eastAsia="宋体"/>
                <w:szCs w:val="21"/>
                <w:lang w:val="en-US" w:eastAsia="zh-CN"/>
              </w:rPr>
            </w:pPr>
            <w:r>
              <w:rPr>
                <w:rFonts w:hint="eastAsia" w:ascii="宋体" w:hAnsi="宋体"/>
                <w:szCs w:val="21"/>
                <w:lang w:val="en-US" w:eastAsia="zh-CN"/>
              </w:rPr>
              <w:t>Q10.3</w:t>
            </w:r>
          </w:p>
        </w:tc>
        <w:tc>
          <w:tcPr>
            <w:tcW w:w="10004" w:type="dxa"/>
            <w:vAlign w:val="center"/>
          </w:tcPr>
          <w:p>
            <w:pPr>
              <w:spacing w:line="360" w:lineRule="auto"/>
              <w:rPr>
                <w:rFonts w:ascii="宋体" w:hAnsi="宋体"/>
                <w:color w:val="000000"/>
                <w:sz w:val="24"/>
                <w:szCs w:val="24"/>
              </w:rPr>
            </w:pPr>
            <w:r>
              <w:rPr>
                <w:rFonts w:hint="eastAsia" w:ascii="宋体" w:hAnsi="宋体" w:cs="宋体"/>
                <w:sz w:val="24"/>
                <w:szCs w:val="24"/>
              </w:rPr>
              <w:t>管理者代表组织持续改进过程的策划工作，由综合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hint="default"/>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vAlign w:val="top"/>
          </w:tcPr>
          <w:p>
            <w:pPr>
              <w:spacing w:line="360" w:lineRule="auto"/>
              <w:rPr>
                <w:rFonts w:hint="eastAsia" w:ascii="宋体" w:hAnsi="宋体" w:cs="宋体"/>
                <w:sz w:val="24"/>
                <w:szCs w:val="24"/>
                <w:lang w:val="en-US" w:eastAsia="zh-CN"/>
              </w:rPr>
            </w:pPr>
            <w:r>
              <w:rPr>
                <w:rFonts w:hint="eastAsia" w:ascii="宋体" w:hAnsi="宋体" w:cs="宋体"/>
                <w:sz w:val="24"/>
                <w:szCs w:val="24"/>
              </w:rPr>
              <w:t>国家/地方抽查、顾客满意、相关方投诉处理</w:t>
            </w:r>
          </w:p>
        </w:tc>
        <w:tc>
          <w:tcPr>
            <w:tcW w:w="960" w:type="dxa"/>
            <w:vAlign w:val="top"/>
          </w:tcPr>
          <w:p>
            <w:pPr>
              <w:spacing w:line="360" w:lineRule="auto"/>
              <w:rPr>
                <w:rFonts w:hint="eastAsia" w:ascii="宋体" w:hAnsi="宋体" w:cs="宋体"/>
                <w:sz w:val="24"/>
                <w:szCs w:val="24"/>
                <w:lang w:val="en-US" w:eastAsia="zh-CN"/>
              </w:rPr>
            </w:pPr>
          </w:p>
        </w:tc>
        <w:tc>
          <w:tcPr>
            <w:tcW w:w="10004" w:type="dxa"/>
            <w:vAlign w:val="top"/>
          </w:tcPr>
          <w:p>
            <w:pPr>
              <w:spacing w:line="360" w:lineRule="auto"/>
              <w:rPr>
                <w:rFonts w:hint="eastAsia" w:ascii="宋体" w:hAnsi="宋体" w:cs="宋体"/>
                <w:sz w:val="24"/>
                <w:szCs w:val="24"/>
              </w:rPr>
            </w:pPr>
            <w:r>
              <w:rPr>
                <w:rFonts w:hint="eastAsia" w:ascii="宋体" w:hAnsi="宋体" w:cs="宋体"/>
                <w:sz w:val="24"/>
                <w:szCs w:val="24"/>
              </w:rPr>
              <w:t>自公司成立以来，未受到上级主管部门有关质量的行政处罚。未发生相关方的投诉。</w:t>
            </w:r>
          </w:p>
          <w:p>
            <w:pPr>
              <w:spacing w:line="360" w:lineRule="auto"/>
              <w:rPr>
                <w:rFonts w:hint="eastAsia" w:ascii="宋体" w:hAnsi="宋体" w:cs="宋体"/>
                <w:sz w:val="24"/>
                <w:szCs w:val="24"/>
              </w:rPr>
            </w:pPr>
            <w:r>
              <w:rPr>
                <w:rFonts w:hint="eastAsia" w:ascii="宋体" w:hAnsi="宋体" w:cs="宋体"/>
                <w:sz w:val="24"/>
                <w:szCs w:val="24"/>
              </w:rPr>
              <w:t>暂时没有国家/地方抽查情况。</w:t>
            </w:r>
          </w:p>
          <w:p>
            <w:pPr>
              <w:spacing w:line="360" w:lineRule="auto"/>
              <w:rPr>
                <w:rFonts w:hint="eastAsia" w:ascii="宋体" w:hAnsi="宋体" w:cs="宋体"/>
                <w:sz w:val="24"/>
                <w:szCs w:val="24"/>
                <w:lang w:val="en-US" w:eastAsia="zh-CN"/>
              </w:rPr>
            </w:pPr>
            <w:r>
              <w:rPr>
                <w:rFonts w:hint="eastAsia" w:ascii="宋体" w:hAnsi="宋体" w:cs="宋体"/>
                <w:sz w:val="24"/>
                <w:szCs w:val="24"/>
              </w:rPr>
              <w:t>目前没有相关行政主管部门的检查处罚，在审核现场也未发现抽查、相关方投诉等情况。</w:t>
            </w:r>
          </w:p>
        </w:tc>
        <w:tc>
          <w:tcPr>
            <w:tcW w:w="1585" w:type="dxa"/>
          </w:tcPr>
          <w:p>
            <w:pPr>
              <w:spacing w:line="360" w:lineRule="auto"/>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0" w:type="auto"/>
            <w:vAlign w:val="top"/>
          </w:tcPr>
          <w:p>
            <w:pPr>
              <w:spacing w:line="360" w:lineRule="auto"/>
              <w:rPr>
                <w:rFonts w:hint="eastAsia" w:ascii="宋体" w:hAnsi="宋体" w:cs="宋体"/>
                <w:sz w:val="24"/>
                <w:szCs w:val="24"/>
                <w:lang w:val="en-US" w:eastAsia="zh-CN"/>
              </w:rPr>
            </w:pPr>
            <w:r>
              <w:rPr>
                <w:rFonts w:hint="eastAsia" w:ascii="宋体" w:hAnsi="宋体" w:cs="宋体"/>
                <w:sz w:val="24"/>
                <w:szCs w:val="24"/>
              </w:rPr>
              <w:t>验证资质</w:t>
            </w:r>
          </w:p>
        </w:tc>
        <w:tc>
          <w:tcPr>
            <w:tcW w:w="0" w:type="auto"/>
            <w:vAlign w:val="top"/>
          </w:tcPr>
          <w:p>
            <w:pPr>
              <w:spacing w:line="360" w:lineRule="auto"/>
              <w:rPr>
                <w:rFonts w:hint="eastAsia" w:ascii="宋体" w:hAnsi="宋体" w:cs="宋体"/>
                <w:sz w:val="24"/>
                <w:szCs w:val="24"/>
                <w:lang w:val="en-US" w:eastAsia="zh-CN"/>
              </w:rPr>
            </w:pPr>
          </w:p>
        </w:tc>
        <w:tc>
          <w:tcPr>
            <w:tcW w:w="0" w:type="auto"/>
            <w:vAlign w:val="top"/>
          </w:tcPr>
          <w:p>
            <w:pPr>
              <w:spacing w:line="360" w:lineRule="auto"/>
              <w:rPr>
                <w:rFonts w:hint="eastAsia" w:ascii="宋体" w:hAnsi="宋体" w:cs="宋体"/>
                <w:sz w:val="24"/>
                <w:szCs w:val="24"/>
                <w:lang w:val="en-US" w:eastAsia="zh-CN"/>
              </w:rPr>
            </w:pPr>
            <w:r>
              <w:rPr>
                <w:rFonts w:hint="eastAsia" w:ascii="宋体" w:hAnsi="宋体" w:cs="宋体"/>
                <w:sz w:val="24"/>
                <w:szCs w:val="24"/>
              </w:rPr>
              <w:t>提供了组织营业执照均为有效。</w:t>
            </w:r>
          </w:p>
        </w:tc>
        <w:tc>
          <w:tcPr>
            <w:tcW w:w="0" w:type="auto"/>
          </w:tcPr>
          <w:p>
            <w:pPr>
              <w:spacing w:line="360" w:lineRule="auto"/>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0" w:type="auto"/>
            <w:vAlign w:val="top"/>
          </w:tcPr>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上次审核问题验证</w:t>
            </w:r>
          </w:p>
        </w:tc>
        <w:tc>
          <w:tcPr>
            <w:tcW w:w="0" w:type="auto"/>
            <w:vAlign w:val="top"/>
          </w:tcPr>
          <w:p>
            <w:pPr>
              <w:spacing w:line="360" w:lineRule="auto"/>
              <w:rPr>
                <w:rFonts w:hint="eastAsia" w:ascii="宋体" w:hAnsi="宋体" w:cs="宋体"/>
                <w:sz w:val="24"/>
                <w:szCs w:val="24"/>
                <w:lang w:val="en-US" w:eastAsia="zh-CN"/>
              </w:rPr>
            </w:pPr>
          </w:p>
        </w:tc>
        <w:tc>
          <w:tcPr>
            <w:tcW w:w="0" w:type="auto"/>
            <w:vAlign w:val="top"/>
          </w:tcPr>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验证了相关的整改证据，措施有效。</w:t>
            </w:r>
          </w:p>
        </w:tc>
        <w:tc>
          <w:tcPr>
            <w:tcW w:w="0" w:type="auto"/>
          </w:tcPr>
          <w:p>
            <w:pPr>
              <w:spacing w:line="360" w:lineRule="auto"/>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0" w:type="auto"/>
            <w:vAlign w:val="top"/>
          </w:tcPr>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证书标识使用情况</w:t>
            </w:r>
          </w:p>
        </w:tc>
        <w:tc>
          <w:tcPr>
            <w:tcW w:w="0" w:type="auto"/>
            <w:vAlign w:val="top"/>
          </w:tcPr>
          <w:p>
            <w:pPr>
              <w:spacing w:line="360" w:lineRule="auto"/>
              <w:rPr>
                <w:rFonts w:hint="eastAsia" w:ascii="宋体" w:hAnsi="宋体" w:cs="宋体"/>
                <w:sz w:val="24"/>
                <w:szCs w:val="24"/>
                <w:lang w:val="en-US" w:eastAsia="zh-CN"/>
              </w:rPr>
            </w:pPr>
          </w:p>
        </w:tc>
        <w:tc>
          <w:tcPr>
            <w:tcW w:w="0" w:type="auto"/>
            <w:vAlign w:val="top"/>
          </w:tcPr>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与管理者代表沟通，企业上年度未在产品中使用标志，在投标文件中正确使用了质量管理体系证书，能够符合要求。</w:t>
            </w:r>
          </w:p>
        </w:tc>
        <w:tc>
          <w:tcPr>
            <w:tcW w:w="0" w:type="auto"/>
          </w:tcPr>
          <w:p>
            <w:pPr>
              <w:spacing w:line="360" w:lineRule="auto"/>
              <w:rPr>
                <w:rFonts w:hint="eastAsia" w:ascii="宋体" w:hAnsi="宋体" w:cs="宋体"/>
                <w:sz w:val="24"/>
                <w:szCs w:val="24"/>
                <w:lang w:val="en-US" w:eastAsia="zh-CN"/>
              </w:rPr>
            </w:pPr>
          </w:p>
        </w:tc>
      </w:tr>
    </w:tbl>
    <w:p>
      <w:pPr>
        <w:spacing w:line="360" w:lineRule="auto"/>
        <w:rPr>
          <w:rFonts w:hint="eastAsia" w:ascii="宋体" w:hAnsi="宋体" w:cs="宋体"/>
          <w:sz w:val="24"/>
          <w:szCs w:val="24"/>
        </w:rPr>
      </w:pPr>
      <w:r>
        <w:rPr>
          <w:rFonts w:hint="eastAsia" w:ascii="宋体" w:hAnsi="宋体" w:cs="宋体"/>
          <w:sz w:val="24"/>
          <w:szCs w:val="24"/>
        </w:rPr>
        <w:tab/>
      </w:r>
    </w:p>
    <w:p>
      <w:pPr>
        <w:spacing w:line="360" w:lineRule="auto"/>
        <w:rPr>
          <w:sz w:val="24"/>
          <w:szCs w:val="24"/>
        </w:rPr>
      </w:pPr>
      <w:r>
        <w:rPr>
          <w:rFonts w:hint="eastAsia" w:ascii="宋体" w:hAnsi="宋体" w:cs="宋体"/>
          <w:sz w:val="24"/>
          <w:szCs w:val="24"/>
        </w:rPr>
        <w:t>说明：不符合标注N</w:t>
      </w:r>
      <w:bookmarkStart w:id="3" w:name="_GoBack"/>
      <w:bookmarkEnd w:id="3"/>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1432F7C"/>
    <w:rsid w:val="029D0F9F"/>
    <w:rsid w:val="04A316E9"/>
    <w:rsid w:val="0AAD57F6"/>
    <w:rsid w:val="0FBA6CB8"/>
    <w:rsid w:val="108219C2"/>
    <w:rsid w:val="1479558F"/>
    <w:rsid w:val="15F9184D"/>
    <w:rsid w:val="1F223FBE"/>
    <w:rsid w:val="20B61E59"/>
    <w:rsid w:val="212511B6"/>
    <w:rsid w:val="25627536"/>
    <w:rsid w:val="2D0B7DFF"/>
    <w:rsid w:val="2E7E5472"/>
    <w:rsid w:val="332B57A9"/>
    <w:rsid w:val="37347390"/>
    <w:rsid w:val="39FF5483"/>
    <w:rsid w:val="3A877FB2"/>
    <w:rsid w:val="3C542775"/>
    <w:rsid w:val="3D423A1B"/>
    <w:rsid w:val="3F425528"/>
    <w:rsid w:val="3FE10ED8"/>
    <w:rsid w:val="45361A48"/>
    <w:rsid w:val="48266871"/>
    <w:rsid w:val="486F28F0"/>
    <w:rsid w:val="487C2BF9"/>
    <w:rsid w:val="4C3C6983"/>
    <w:rsid w:val="55987003"/>
    <w:rsid w:val="57ED5E45"/>
    <w:rsid w:val="5DA62B31"/>
    <w:rsid w:val="5EA12B9A"/>
    <w:rsid w:val="5FEB3E7C"/>
    <w:rsid w:val="60013AEF"/>
    <w:rsid w:val="672B1FDE"/>
    <w:rsid w:val="68D10E0F"/>
    <w:rsid w:val="6A360AF0"/>
    <w:rsid w:val="6D9A4CCA"/>
    <w:rsid w:val="6EFE43E4"/>
    <w:rsid w:val="71D618CF"/>
    <w:rsid w:val="74526611"/>
    <w:rsid w:val="757D7F2E"/>
    <w:rsid w:val="77070AE5"/>
    <w:rsid w:val="793F2815"/>
    <w:rsid w:val="799D6057"/>
    <w:rsid w:val="7C4F722B"/>
    <w:rsid w:val="7FDF2B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0</TotalTime>
  <ScaleCrop>false</ScaleCrop>
  <LinksUpToDate>false</LinksUpToDate>
  <CharactersWithSpaces>3148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2022-04-20T22:48:06Z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5311C940AAB04F98B1B8C2E9F1404E91</vt:lpwstr>
  </property>
</Properties>
</file>