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drawing>
          <wp:anchor distT="0" distB="0" distL="114300" distR="114300" simplePos="0" relativeHeight="251659264" behindDoc="0" locked="0" layoutInCell="1" allowOverlap="1">
            <wp:simplePos x="0" y="0"/>
            <wp:positionH relativeFrom="column">
              <wp:posOffset>1898650</wp:posOffset>
            </wp:positionH>
            <wp:positionV relativeFrom="paragraph">
              <wp:posOffset>17780</wp:posOffset>
            </wp:positionV>
            <wp:extent cx="1590675" cy="1590675"/>
            <wp:effectExtent l="0" t="0" r="9525" b="9525"/>
            <wp:wrapNone/>
            <wp:docPr id="5" name="图片 3"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新LOGO"/>
                    <pic:cNvPicPr>
                      <a:picLocks noChangeAspect="1"/>
                    </pic:cNvPicPr>
                  </pic:nvPicPr>
                  <pic:blipFill>
                    <a:blip r:embed="rId5"/>
                    <a:stretch>
                      <a:fillRect/>
                    </a:stretch>
                  </pic:blipFill>
                  <pic:spPr>
                    <a:xfrm>
                      <a:off x="0" y="0"/>
                      <a:ext cx="1590675" cy="1590675"/>
                    </a:xfrm>
                    <a:prstGeom prst="rect">
                      <a:avLst/>
                    </a:prstGeom>
                    <a:noFill/>
                    <a:ln>
                      <a:noFill/>
                    </a:ln>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ind w:firstLine="960" w:firstLineChars="300"/>
        <w:jc w:val="left"/>
        <w:rPr>
          <w:rFonts w:hint="eastAsia" w:ascii="宋体" w:hAnsi="宋体" w:eastAsiaTheme="minorEastAsia"/>
          <w:b w:val="0"/>
          <w:bCs w:val="0"/>
          <w:sz w:val="24"/>
          <w:szCs w:val="24"/>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b w:val="0"/>
          <w:bCs w:val="0"/>
          <w:sz w:val="24"/>
          <w:szCs w:val="24"/>
          <w:u w:val="single"/>
          <w:lang w:eastAsia="zh-CN"/>
        </w:rPr>
        <w:t>四川英才教学设备有限公司</w:t>
      </w:r>
    </w:p>
    <w:p>
      <w:pPr>
        <w:spacing w:line="360" w:lineRule="auto"/>
        <w:ind w:firstLine="960" w:firstLineChars="200"/>
        <w:jc w:val="left"/>
        <w:rPr>
          <w:rFonts w:hint="eastAsia"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sz w:val="32"/>
          <w:u w:val="single"/>
          <w:lang w:val="en-US" w:eastAsia="zh-CN"/>
        </w:rPr>
        <w:t>0226</w:t>
      </w:r>
      <w:r>
        <w:rPr>
          <w:rFonts w:hint="eastAsia" w:ascii="宋体" w:hAnsi="宋体"/>
          <w:sz w:val="32"/>
          <w:u w:val="single"/>
        </w:rPr>
        <w:t>-2</w:t>
      </w:r>
      <w:r>
        <w:rPr>
          <w:rFonts w:hint="eastAsia" w:ascii="宋体" w:hAnsi="宋体"/>
          <w:sz w:val="32"/>
          <w:u w:val="single"/>
          <w:lang w:val="en-US" w:eastAsia="zh-CN"/>
        </w:rPr>
        <w:t>021</w:t>
      </w:r>
      <w:r>
        <w:rPr>
          <w:rFonts w:hint="eastAsia" w:ascii="宋体" w:hAnsi="宋体"/>
          <w:sz w:val="32"/>
          <w:u w:val="single"/>
        </w:rPr>
        <w:t>-202</w:t>
      </w:r>
      <w:bookmarkEnd w:id="1"/>
      <w:r>
        <w:rPr>
          <w:rFonts w:hint="eastAsia" w:ascii="宋体" w:hAnsi="宋体"/>
          <w:sz w:val="32"/>
          <w:u w:val="single"/>
          <w:lang w:val="en-US" w:eastAsia="zh-CN"/>
        </w:rPr>
        <w:t>2</w:t>
      </w:r>
    </w:p>
    <w:p>
      <w:pPr>
        <w:spacing w:line="360" w:lineRule="auto"/>
        <w:ind w:firstLine="960" w:firstLineChars="200"/>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hint="eastAsia"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226</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21</w:t>
      </w:r>
      <w:r>
        <w:rPr>
          <w:rFonts w:ascii="Times New Roman" w:hAnsi="Times New Roman" w:eastAsia="宋体" w:cs="Times New Roman"/>
          <w:bCs/>
          <w:kern w:val="0"/>
          <w:sz w:val="18"/>
          <w:szCs w:val="18"/>
          <w:u w:val="single"/>
        </w:rPr>
        <w:t>-202</w:t>
      </w:r>
      <w:bookmarkEnd w:id="2"/>
      <w:r>
        <w:rPr>
          <w:rFonts w:hint="eastAsia" w:ascii="Times New Roman" w:hAnsi="Times New Roman" w:eastAsia="宋体" w:cs="Times New Roman"/>
          <w:bCs/>
          <w:kern w:val="0"/>
          <w:sz w:val="18"/>
          <w:szCs w:val="18"/>
          <w:u w:val="single"/>
          <w:lang w:val="en-US" w:eastAsia="zh-CN"/>
        </w:rPr>
        <w:t>2</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3362"/>
        <w:gridCol w:w="1623"/>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9"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bCs/>
                <w:kern w:val="0"/>
                <w:sz w:val="21"/>
                <w:szCs w:val="21"/>
              </w:rPr>
              <w:t>企业</w:t>
            </w:r>
            <w:r>
              <w:rPr>
                <w:rFonts w:cs="宋体" w:asciiTheme="minorEastAsia" w:hAnsiTheme="minorEastAsia"/>
                <w:kern w:val="0"/>
                <w:sz w:val="21"/>
                <w:szCs w:val="21"/>
              </w:rPr>
              <w:t>名称</w:t>
            </w:r>
          </w:p>
        </w:tc>
        <w:tc>
          <w:tcPr>
            <w:tcW w:w="3362" w:type="dxa"/>
            <w:vAlign w:val="center"/>
          </w:tcPr>
          <w:p>
            <w:pPr>
              <w:tabs>
                <w:tab w:val="left" w:pos="880"/>
              </w:tabs>
              <w:autoSpaceDE w:val="0"/>
              <w:autoSpaceDN w:val="0"/>
              <w:adjustRightInd w:val="0"/>
              <w:spacing w:before="35" w:line="360" w:lineRule="exact"/>
              <w:ind w:right="161"/>
              <w:rPr>
                <w:rFonts w:hint="eastAsia" w:cs="宋体" w:asciiTheme="minorEastAsia" w:hAnsiTheme="minorEastAsia" w:eastAsiaTheme="minorEastAsia"/>
                <w:kern w:val="0"/>
                <w:sz w:val="21"/>
                <w:szCs w:val="21"/>
                <w:lang w:eastAsia="zh-CN"/>
              </w:rPr>
            </w:pPr>
            <w:r>
              <w:rPr>
                <w:rFonts w:hint="eastAsia" w:ascii="Times New Roman" w:hAnsi="Times New Roman" w:eastAsia="宋体" w:cs="Times New Roman"/>
                <w:color w:val="000000"/>
                <w:sz w:val="21"/>
                <w:szCs w:val="21"/>
                <w:lang w:eastAsia="zh-CN"/>
              </w:rPr>
              <w:t>四川英才教学设备有限公司</w:t>
            </w:r>
          </w:p>
        </w:tc>
        <w:tc>
          <w:tcPr>
            <w:tcW w:w="1623"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企业联系人</w:t>
            </w:r>
          </w:p>
        </w:tc>
        <w:tc>
          <w:tcPr>
            <w:tcW w:w="2561"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val="en-US" w:eastAsia="zh-CN"/>
              </w:rPr>
            </w:pPr>
            <w:r>
              <w:rPr>
                <w:rFonts w:hint="eastAsia" w:cs="宋体" w:asciiTheme="minorEastAsia" w:hAnsiTheme="minorEastAsia"/>
                <w:kern w:val="0"/>
                <w:sz w:val="21"/>
                <w:szCs w:val="21"/>
                <w:lang w:val="en-US" w:eastAsia="zh-CN"/>
              </w:rPr>
              <w:t>张红军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8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highlight w:val="none"/>
              </w:rPr>
            </w:pPr>
            <w:r>
              <w:rPr>
                <w:rFonts w:hint="eastAsia" w:cs="宋体" w:asciiTheme="minorEastAsia" w:hAnsiTheme="minorEastAsia"/>
                <w:kern w:val="0"/>
                <w:szCs w:val="21"/>
                <w:highlight w:val="none"/>
              </w:rPr>
              <w:t>认证证书编号</w:t>
            </w:r>
          </w:p>
        </w:tc>
        <w:tc>
          <w:tcPr>
            <w:tcW w:w="3362" w:type="dxa"/>
            <w:vAlign w:val="top"/>
          </w:tcPr>
          <w:p>
            <w:pPr>
              <w:tabs>
                <w:tab w:val="left" w:pos="880"/>
              </w:tabs>
              <w:autoSpaceDE w:val="0"/>
              <w:autoSpaceDN w:val="0"/>
              <w:adjustRightInd w:val="0"/>
              <w:spacing w:before="35" w:line="276" w:lineRule="auto"/>
              <w:ind w:right="161" w:rightChars="0"/>
              <w:rPr>
                <w:rFonts w:hint="default" w:asciiTheme="minorEastAsia" w:hAnsiTheme="minorEastAsia" w:eastAsiaTheme="minorEastAsia"/>
                <w:sz w:val="21"/>
                <w:szCs w:val="21"/>
                <w:highlight w:val="none"/>
                <w:lang w:val="en-US" w:eastAsia="zh-CN"/>
              </w:rPr>
            </w:pPr>
            <w:r>
              <w:rPr>
                <w:rFonts w:cs="宋体" w:asciiTheme="minorEastAsia" w:hAnsiTheme="minorEastAsia"/>
                <w:kern w:val="0"/>
                <w:szCs w:val="21"/>
                <w:highlight w:val="none"/>
              </w:rPr>
              <w:t>ISC-20</w:t>
            </w:r>
            <w:r>
              <w:rPr>
                <w:rFonts w:hint="eastAsia" w:cs="宋体" w:asciiTheme="minorEastAsia" w:hAnsiTheme="minorEastAsia"/>
                <w:kern w:val="0"/>
                <w:szCs w:val="21"/>
                <w:highlight w:val="none"/>
                <w:lang w:val="en-US" w:eastAsia="zh-CN"/>
              </w:rPr>
              <w:t>21</w:t>
            </w:r>
            <w:r>
              <w:rPr>
                <w:rFonts w:cs="宋体" w:asciiTheme="minorEastAsia" w:hAnsiTheme="minorEastAsia"/>
                <w:kern w:val="0"/>
                <w:szCs w:val="21"/>
                <w:highlight w:val="none"/>
              </w:rPr>
              <w:t>-0</w:t>
            </w:r>
            <w:r>
              <w:rPr>
                <w:rFonts w:hint="eastAsia" w:cs="宋体" w:asciiTheme="minorEastAsia" w:hAnsiTheme="minorEastAsia"/>
                <w:kern w:val="0"/>
                <w:szCs w:val="21"/>
                <w:highlight w:val="none"/>
                <w:lang w:val="en-US" w:eastAsia="zh-CN"/>
              </w:rPr>
              <w:t>984</w:t>
            </w:r>
          </w:p>
        </w:tc>
        <w:tc>
          <w:tcPr>
            <w:tcW w:w="1623"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highlight w:val="none"/>
              </w:rPr>
            </w:pPr>
            <w:r>
              <w:rPr>
                <w:rFonts w:hint="eastAsia" w:cs="宋体" w:asciiTheme="minorEastAsia" w:hAnsiTheme="minorEastAsia"/>
                <w:kern w:val="0"/>
                <w:szCs w:val="21"/>
                <w:highlight w:val="none"/>
              </w:rPr>
              <w:t>证书有效期</w:t>
            </w:r>
          </w:p>
        </w:tc>
        <w:tc>
          <w:tcPr>
            <w:tcW w:w="2561" w:type="dxa"/>
            <w:vAlign w:val="top"/>
          </w:tcPr>
          <w:p>
            <w:pPr>
              <w:tabs>
                <w:tab w:val="left" w:pos="880"/>
              </w:tabs>
              <w:autoSpaceDE w:val="0"/>
              <w:autoSpaceDN w:val="0"/>
              <w:adjustRightInd w:val="0"/>
              <w:spacing w:before="35" w:line="360" w:lineRule="auto"/>
              <w:ind w:right="161" w:rightChars="0"/>
              <w:rPr>
                <w:rFonts w:hint="default" w:cs="宋体" w:asciiTheme="minorEastAsia" w:hAnsiTheme="minorEastAsia" w:eastAsiaTheme="minorEastAsia"/>
                <w:kern w:val="0"/>
                <w:sz w:val="21"/>
                <w:szCs w:val="21"/>
                <w:highlight w:val="none"/>
                <w:lang w:val="en-US" w:eastAsia="zh-CN"/>
              </w:rPr>
            </w:pPr>
            <w:r>
              <w:rPr>
                <w:rFonts w:cs="宋体" w:asciiTheme="minorEastAsia" w:hAnsiTheme="minorEastAsia"/>
                <w:kern w:val="0"/>
                <w:szCs w:val="21"/>
                <w:highlight w:val="none"/>
              </w:rPr>
              <w:t>202</w:t>
            </w:r>
            <w:r>
              <w:rPr>
                <w:rFonts w:hint="eastAsia" w:cs="宋体" w:asciiTheme="minorEastAsia" w:hAnsiTheme="minorEastAsia"/>
                <w:kern w:val="0"/>
                <w:szCs w:val="21"/>
                <w:highlight w:val="none"/>
                <w:lang w:val="en-US" w:eastAsia="zh-CN"/>
              </w:rPr>
              <w:t>6</w:t>
            </w:r>
            <w:r>
              <w:rPr>
                <w:rFonts w:cs="宋体" w:asciiTheme="minorEastAsia" w:hAnsiTheme="minorEastAsia"/>
                <w:kern w:val="0"/>
                <w:szCs w:val="21"/>
                <w:highlight w:val="none"/>
              </w:rPr>
              <w:t>-0</w:t>
            </w:r>
            <w:r>
              <w:rPr>
                <w:rFonts w:hint="eastAsia" w:cs="宋体" w:asciiTheme="minorEastAsia" w:hAnsiTheme="minorEastAsia"/>
                <w:kern w:val="0"/>
                <w:szCs w:val="21"/>
                <w:highlight w:val="none"/>
                <w:lang w:val="en-US" w:eastAsia="zh-CN"/>
              </w:rPr>
              <w:t>4</w:t>
            </w:r>
            <w:r>
              <w:rPr>
                <w:rFonts w:cs="宋体" w:asciiTheme="minorEastAsia" w:hAnsiTheme="minorEastAsia"/>
                <w:kern w:val="0"/>
                <w:szCs w:val="21"/>
                <w:highlight w:val="none"/>
              </w:rPr>
              <w:t>-</w:t>
            </w:r>
            <w:r>
              <w:rPr>
                <w:rFonts w:hint="eastAsia" w:cs="宋体" w:asciiTheme="minorEastAsia" w:hAnsiTheme="minorEastAsia"/>
                <w:kern w:val="0"/>
                <w:szCs w:val="21"/>
                <w:highlight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9"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监督审核次数</w:t>
            </w:r>
          </w:p>
        </w:tc>
        <w:tc>
          <w:tcPr>
            <w:tcW w:w="3362" w:type="dxa"/>
            <w:vAlign w:val="center"/>
          </w:tcPr>
          <w:p>
            <w:pPr>
              <w:spacing w:line="360" w:lineRule="exact"/>
              <w:jc w:val="both"/>
              <w:rPr>
                <w:sz w:val="21"/>
                <w:szCs w:val="21"/>
              </w:rPr>
            </w:pPr>
            <w:r>
              <w:rPr>
                <w:rFonts w:hint="eastAsia"/>
                <w:sz w:val="21"/>
                <w:szCs w:val="21"/>
              </w:rPr>
              <w:t>第</w:t>
            </w:r>
            <w:r>
              <w:rPr>
                <w:rFonts w:hint="eastAsia"/>
                <w:sz w:val="21"/>
                <w:szCs w:val="21"/>
                <w:lang w:val="en-US" w:eastAsia="zh-CN"/>
              </w:rPr>
              <w:t>1</w:t>
            </w:r>
            <w:r>
              <w:rPr>
                <w:rFonts w:hint="eastAsia"/>
                <w:sz w:val="21"/>
                <w:szCs w:val="21"/>
              </w:rPr>
              <w:t>次监督审核</w:t>
            </w:r>
          </w:p>
        </w:tc>
        <w:tc>
          <w:tcPr>
            <w:tcW w:w="1623"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kern w:val="0"/>
                <w:sz w:val="21"/>
                <w:szCs w:val="21"/>
              </w:rPr>
              <w:t>本次监督</w:t>
            </w:r>
          </w:p>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cs="宋体" w:asciiTheme="minorEastAsia" w:hAnsiTheme="minorEastAsia"/>
                <w:color w:val="333333"/>
                <w:kern w:val="0"/>
                <w:sz w:val="21"/>
                <w:szCs w:val="21"/>
              </w:rPr>
              <w:t>时间</w:t>
            </w:r>
          </w:p>
        </w:tc>
        <w:tc>
          <w:tcPr>
            <w:tcW w:w="2561" w:type="dxa"/>
            <w:vAlign w:val="center"/>
          </w:tcPr>
          <w:p>
            <w:pPr>
              <w:tabs>
                <w:tab w:val="left" w:pos="880"/>
              </w:tabs>
              <w:autoSpaceDE w:val="0"/>
              <w:autoSpaceDN w:val="0"/>
              <w:adjustRightInd w:val="0"/>
              <w:spacing w:before="35" w:line="360" w:lineRule="exact"/>
              <w:ind w:right="161"/>
              <w:jc w:val="both"/>
              <w:rPr>
                <w:rFonts w:hint="default" w:cs="宋体" w:asciiTheme="minorEastAsia" w:hAnsiTheme="minorEastAsia" w:eastAsiaTheme="minorEastAsia"/>
                <w:kern w:val="0"/>
                <w:sz w:val="21"/>
                <w:szCs w:val="21"/>
                <w:lang w:val="en-US" w:eastAsia="zh-CN"/>
              </w:rPr>
            </w:pPr>
            <w:r>
              <w:rPr>
                <w:rFonts w:hint="eastAsia" w:cs="宋体" w:asciiTheme="minorEastAsia" w:hAnsiTheme="minorEastAsia"/>
                <w:kern w:val="0"/>
                <w:sz w:val="21"/>
                <w:szCs w:val="21"/>
              </w:rPr>
              <w:t>20</w:t>
            </w:r>
            <w:r>
              <w:rPr>
                <w:rFonts w:cs="宋体" w:asciiTheme="minorEastAsia" w:hAnsiTheme="minorEastAsia"/>
                <w:kern w:val="0"/>
                <w:sz w:val="21"/>
                <w:szCs w:val="21"/>
              </w:rPr>
              <w:t>2</w:t>
            </w:r>
            <w:r>
              <w:rPr>
                <w:rFonts w:hint="eastAsia" w:cs="宋体" w:asciiTheme="minorEastAsia" w:hAnsiTheme="minorEastAsia"/>
                <w:kern w:val="0"/>
                <w:sz w:val="21"/>
                <w:szCs w:val="21"/>
                <w:lang w:val="en-US" w:eastAsia="zh-CN"/>
              </w:rPr>
              <w:t>2</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03</w:t>
            </w:r>
            <w:r>
              <w:rPr>
                <w:rFonts w:hint="eastAsia" w:cs="宋体" w:asciiTheme="minorEastAsia" w:hAnsiTheme="minorEastAsia"/>
                <w:kern w:val="0"/>
                <w:sz w:val="21"/>
                <w:szCs w:val="21"/>
              </w:rPr>
              <w:t>月</w:t>
            </w:r>
            <w:r>
              <w:rPr>
                <w:rFonts w:hint="eastAsia" w:cs="宋体" w:asciiTheme="minorEastAsia" w:hAnsiTheme="minorEastAsia"/>
                <w:kern w:val="0"/>
                <w:sz w:val="21"/>
                <w:szCs w:val="21"/>
                <w:lang w:val="en-US" w:eastAsia="zh-CN"/>
              </w:rPr>
              <w:t>28日上午-03月29日上午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89" w:type="dxa"/>
            <w:vAlign w:val="top"/>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rightChars="0" w:firstLine="105" w:firstLineChars="50"/>
              <w:rPr>
                <w:rFonts w:cs="宋体" w:asciiTheme="minorEastAsia" w:hAnsiTheme="minorEastAsia"/>
                <w:kern w:val="0"/>
                <w:sz w:val="21"/>
                <w:szCs w:val="21"/>
              </w:rPr>
            </w:pPr>
            <w:r>
              <w:rPr>
                <w:rFonts w:hint="eastAsia" w:cs="宋体" w:asciiTheme="minorEastAsia" w:hAnsiTheme="minorEastAsia"/>
                <w:kern w:val="0"/>
                <w:szCs w:val="21"/>
              </w:rPr>
              <w:t>姓名及确认号</w:t>
            </w:r>
          </w:p>
        </w:tc>
        <w:tc>
          <w:tcPr>
            <w:tcW w:w="3362" w:type="dxa"/>
            <w:vAlign w:val="center"/>
          </w:tcPr>
          <w:p>
            <w:pPr>
              <w:spacing w:line="360" w:lineRule="exact"/>
              <w:jc w:val="both"/>
              <w:rPr>
                <w:rFonts w:hint="eastAsia" w:ascii="宋体" w:hAnsi="宋体" w:eastAsia="宋体" w:cs="宋体"/>
                <w:sz w:val="21"/>
                <w:szCs w:val="21"/>
                <w:lang w:eastAsia="zh-CN"/>
              </w:rPr>
            </w:pPr>
          </w:p>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rPr>
            </w:pPr>
          </w:p>
        </w:tc>
        <w:tc>
          <w:tcPr>
            <w:tcW w:w="1623" w:type="dxa"/>
            <w:vAlign w:val="center"/>
          </w:tcPr>
          <w:p>
            <w:pPr>
              <w:spacing w:line="240" w:lineRule="exact"/>
              <w:jc w:val="center"/>
              <w:rPr>
                <w:rFonts w:cs="宋体" w:asciiTheme="minorEastAsia" w:hAnsiTheme="minorEastAsia"/>
                <w:kern w:val="0"/>
                <w:sz w:val="21"/>
                <w:szCs w:val="21"/>
              </w:rPr>
            </w:pPr>
            <w:r>
              <w:rPr>
                <w:rFonts w:cs="宋体" w:asciiTheme="minorEastAsia" w:hAnsiTheme="minorEastAsia"/>
                <w:bCs/>
                <w:kern w:val="0"/>
                <w:szCs w:val="21"/>
              </w:rPr>
              <w:t>监督审核涉及的区域或部门</w:t>
            </w:r>
          </w:p>
        </w:tc>
        <w:tc>
          <w:tcPr>
            <w:tcW w:w="2561" w:type="dxa"/>
            <w:vAlign w:val="top"/>
          </w:tcPr>
          <w:p>
            <w:pPr>
              <w:spacing w:line="360" w:lineRule="auto"/>
              <w:rPr>
                <w:rFonts w:ascii="宋体" w:hAnsi="宋体" w:eastAsia="宋体" w:cs="Times New Roman"/>
                <w:bCs/>
                <w:sz w:val="21"/>
                <w:szCs w:val="21"/>
              </w:rPr>
            </w:pPr>
            <w:r>
              <w:rPr>
                <w:rFonts w:hint="eastAsia" w:eastAsia="新宋体"/>
                <w:sz w:val="21"/>
                <w:szCs w:val="21"/>
                <w:lang w:eastAsia="zh-CN"/>
              </w:rPr>
              <w:t>质检部（技术）、销售部、生产部（生产车间）</w:t>
            </w:r>
            <w:r>
              <w:rPr>
                <w:rFonts w:hint="eastAsia" w:ascii="宋体" w:hAnsi="宋体" w:cs="宋体"/>
                <w:kern w:val="0"/>
                <w:sz w:val="21"/>
                <w:szCs w:val="21"/>
                <w:lang w:eastAsia="zh-CN"/>
              </w:rPr>
              <w:t>、办公室、采购部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运行认证</w:t>
      </w:r>
      <w:bookmarkStart w:id="5" w:name="_GoBack"/>
      <w:bookmarkEnd w:id="5"/>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四川英才教学设备有限公司远程</w:t>
      </w:r>
      <w:r>
        <w:rPr>
          <w:rFonts w:hint="eastAsia" w:ascii="宋体" w:hAnsi="宋体" w:cs="宋体"/>
          <w:bCs/>
          <w:kern w:val="0"/>
          <w:szCs w:val="21"/>
        </w:rPr>
        <w:t>审核中，审核组抽样检查了涉及公司测量体系内的管理、生产、经营、质量和安全等方面的</w:t>
      </w:r>
      <w:r>
        <w:rPr>
          <w:rFonts w:hint="eastAsia" w:ascii="宋体" w:hAnsi="宋体" w:cs="宋体"/>
          <w:bCs/>
          <w:kern w:val="0"/>
          <w:szCs w:val="21"/>
          <w:lang w:val="en-US" w:eastAsia="zh-CN"/>
        </w:rPr>
        <w:t>5</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3作业区</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ind w:firstLine="420" w:firstLineChars="200"/>
        <w:rPr>
          <w:rFonts w:hint="eastAsia" w:ascii="宋体" w:hAnsi="宋体" w:cs="宋体" w:eastAsiaTheme="minorEastAsia"/>
          <w:bCs/>
          <w:kern w:val="0"/>
          <w:szCs w:val="21"/>
          <w:lang w:eastAsia="zh-CN"/>
        </w:rPr>
      </w:pPr>
      <w:r>
        <w:rPr>
          <w:rFonts w:hint="eastAsia" w:ascii="宋体" w:hAnsi="宋体" w:cs="宋体"/>
          <w:bCs/>
          <w:kern w:val="0"/>
          <w:szCs w:val="21"/>
        </w:rPr>
        <w:t>3.1</w:t>
      </w: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2022</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1月21日</w:t>
      </w:r>
      <w:r>
        <w:rPr>
          <w:rFonts w:hint="eastAsia" w:ascii="Times New Roman" w:hAnsi="Times New Roman" w:cs="Times New Roman"/>
          <w:bCs/>
          <w:kern w:val="0"/>
          <w:szCs w:val="21"/>
          <w:highlight w:val="none"/>
          <w:lang w:eastAsia="zh-CN"/>
        </w:rPr>
        <w:t>，</w:t>
      </w:r>
      <w:r>
        <w:rPr>
          <w:rFonts w:ascii="Times New Roman" w:hAnsi="Times New Roman" w:cs="Times New Roman"/>
          <w:bCs/>
          <w:kern w:val="0"/>
          <w:szCs w:val="21"/>
          <w:highlight w:val="none"/>
        </w:rPr>
        <w:t>组织了</w:t>
      </w:r>
      <w:r>
        <w:rPr>
          <w:rFonts w:hint="eastAsia" w:ascii="宋体" w:hAnsi="宋体" w:cs="宋体"/>
          <w:bCs/>
          <w:kern w:val="0"/>
          <w:szCs w:val="21"/>
        </w:rPr>
        <w:t>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r>
        <w:rPr>
          <w:rFonts w:hint="eastAsia" w:ascii="宋体" w:hAnsi="宋体" w:cs="宋体"/>
          <w:bCs/>
          <w:kern w:val="0"/>
          <w:szCs w:val="21"/>
          <w:lang w:eastAsia="zh-CN"/>
        </w:rPr>
        <w:t>。管理者代表代</w:t>
      </w:r>
      <w:r>
        <w:rPr>
          <w:rFonts w:hint="eastAsia" w:ascii="宋体" w:hAnsi="宋体" w:cs="黑体"/>
          <w:szCs w:val="21"/>
          <w:lang w:eastAsia="zh-CN"/>
        </w:rPr>
        <w:t>张红军</w:t>
      </w:r>
      <w:r>
        <w:rPr>
          <w:rFonts w:hint="eastAsia" w:ascii="宋体" w:hAnsi="宋体" w:cs="宋体"/>
          <w:bCs/>
          <w:kern w:val="0"/>
          <w:szCs w:val="21"/>
          <w:highlight w:val="none"/>
          <w:lang w:eastAsia="zh-CN"/>
        </w:rPr>
        <w:t>任组长组织</w:t>
      </w:r>
      <w:r>
        <w:rPr>
          <w:rFonts w:hint="eastAsia" w:ascii="宋体" w:hAnsi="宋体" w:cs="宋体"/>
          <w:bCs/>
          <w:kern w:val="0"/>
          <w:szCs w:val="21"/>
          <w:highlight w:val="none"/>
        </w:rPr>
        <w:t>审核。</w:t>
      </w:r>
      <w:r>
        <w:rPr>
          <w:rFonts w:hint="eastAsia" w:ascii="宋体" w:hAnsi="宋体" w:cs="宋体"/>
          <w:bCs/>
          <w:kern w:val="0"/>
          <w:szCs w:val="21"/>
          <w:highlight w:val="none"/>
          <w:lang w:val="en-US" w:eastAsia="zh-CN"/>
        </w:rPr>
        <w:t>1个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5</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3个作业区</w:t>
      </w:r>
      <w:r>
        <w:rPr>
          <w:rFonts w:ascii="宋体" w:hAnsi="宋体" w:cs="宋体"/>
          <w:kern w:val="0"/>
          <w:szCs w:val="21"/>
        </w:rPr>
        <w:t>组</w:t>
      </w:r>
      <w:r>
        <w:rPr>
          <w:rFonts w:hint="eastAsia" w:ascii="宋体" w:hAnsi="宋体" w:cs="宋体"/>
          <w:bCs/>
          <w:kern w:val="0"/>
          <w:szCs w:val="21"/>
        </w:rPr>
        <w:t>进行了全要素的审核。内部审核</w:t>
      </w:r>
      <w:r>
        <w:rPr>
          <w:rFonts w:hint="eastAsia" w:ascii="宋体" w:hAnsi="宋体" w:cs="宋体"/>
          <w:bCs/>
          <w:kern w:val="0"/>
          <w:szCs w:val="21"/>
          <w:lang w:eastAsia="zh-CN"/>
        </w:rPr>
        <w:t>未</w:t>
      </w:r>
      <w:r>
        <w:rPr>
          <w:rFonts w:hint="eastAsia" w:ascii="宋体" w:hAnsi="宋体" w:cs="宋体"/>
          <w:bCs/>
          <w:kern w:val="0"/>
          <w:szCs w:val="21"/>
        </w:rPr>
        <w:t>发现不符合项。</w:t>
      </w:r>
      <w:r>
        <w:rPr>
          <w:rFonts w:hint="eastAsia" w:ascii="宋体" w:hAnsi="宋体" w:cs="宋体"/>
          <w:bCs/>
          <w:kern w:val="0"/>
          <w:szCs w:val="21"/>
          <w:lang w:eastAsia="zh-CN"/>
        </w:rPr>
        <w:t>对计量工作存在的问题，“内审报告”中对职能部门提出了详细的要求。</w:t>
      </w:r>
    </w:p>
    <w:p>
      <w:pPr>
        <w:widowControl/>
        <w:spacing w:line="360" w:lineRule="auto"/>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highlight w:val="none"/>
        </w:rPr>
        <w:t>公司于20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2</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25</w:t>
      </w:r>
      <w:r>
        <w:rPr>
          <w:rFonts w:hint="eastAsia" w:ascii="宋体" w:hAnsi="宋体" w:cs="宋体"/>
          <w:bCs/>
          <w:kern w:val="0"/>
          <w:szCs w:val="21"/>
          <w:highlight w:val="none"/>
        </w:rPr>
        <w:t>日，开展了测量体系管理</w:t>
      </w:r>
      <w:r>
        <w:rPr>
          <w:rFonts w:hint="eastAsia" w:ascii="宋体" w:hAnsi="宋体" w:cs="宋体"/>
          <w:bCs/>
          <w:kern w:val="0"/>
          <w:szCs w:val="21"/>
          <w:highlight w:val="none"/>
          <w:lang w:eastAsia="zh-CN"/>
        </w:rPr>
        <w:t>管理</w:t>
      </w:r>
      <w:r>
        <w:rPr>
          <w:rFonts w:hint="eastAsia" w:ascii="宋体" w:hAnsi="宋体" w:cs="宋体"/>
          <w:bCs/>
          <w:kern w:val="0"/>
          <w:szCs w:val="21"/>
          <w:highlight w:val="none"/>
        </w:rPr>
        <w:t>评审，</w:t>
      </w:r>
      <w:r>
        <w:rPr>
          <w:bCs/>
          <w:szCs w:val="21"/>
          <w:highlight w:val="none"/>
        </w:rPr>
        <w:t>会议由企业总经理</w:t>
      </w:r>
      <w:r>
        <w:rPr>
          <w:rFonts w:hint="eastAsia" w:ascii="宋体" w:hAnsi="宋体" w:cs="黑体"/>
          <w:szCs w:val="21"/>
          <w:lang w:eastAsia="zh-CN"/>
        </w:rPr>
        <w:t>张建平</w:t>
      </w:r>
      <w:r>
        <w:rPr>
          <w:rFonts w:hint="eastAsia"/>
          <w:bCs/>
          <w:szCs w:val="21"/>
          <w:highlight w:val="none"/>
          <w:lang w:eastAsia="zh-CN"/>
        </w:rPr>
        <w:t>主持，</w:t>
      </w:r>
      <w:r>
        <w:rPr>
          <w:szCs w:val="21"/>
          <w:highlight w:val="none"/>
        </w:rPr>
        <w:t>管理者代表</w:t>
      </w:r>
      <w:r>
        <w:rPr>
          <w:rFonts w:hint="eastAsia"/>
          <w:szCs w:val="21"/>
          <w:highlight w:val="none"/>
          <w:lang w:eastAsia="zh-CN"/>
        </w:rPr>
        <w:t>及</w:t>
      </w:r>
      <w:r>
        <w:rPr>
          <w:szCs w:val="21"/>
          <w:highlight w:val="none"/>
        </w:rPr>
        <w:t>各部门</w:t>
      </w:r>
      <w:r>
        <w:rPr>
          <w:bCs/>
          <w:szCs w:val="21"/>
          <w:highlight w:val="none"/>
        </w:rPr>
        <w:t>汇报了体系运行情况和部门工作完成情况。</w:t>
      </w:r>
      <w:r>
        <w:rPr>
          <w:rFonts w:hint="eastAsia" w:ascii="宋体" w:hAnsi="宋体" w:cs="宋体"/>
          <w:bCs/>
          <w:kern w:val="0"/>
          <w:szCs w:val="21"/>
          <w:highlight w:val="none"/>
        </w:rPr>
        <w:t>会上肯定了公司测量管理体系的充分性、有效性和适宜性。</w:t>
      </w:r>
      <w:r>
        <w:rPr>
          <w:rFonts w:hint="eastAsia" w:ascii="宋体" w:hAnsi="宋体" w:cs="宋体"/>
          <w:bCs/>
          <w:kern w:val="0"/>
          <w:szCs w:val="21"/>
        </w:rPr>
        <w:t>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widowControl/>
        <w:spacing w:line="360" w:lineRule="auto"/>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szCs w:val="21"/>
          <w:lang w:eastAsia="zh-CN"/>
        </w:rPr>
        <w:t>：</w:t>
      </w:r>
      <w:r>
        <w:rPr>
          <w:rFonts w:ascii="Times New Roman" w:hAnsi="Times New Roman" w:cs="Times New Roman"/>
          <w:bCs/>
          <w:kern w:val="0"/>
          <w:szCs w:val="21"/>
        </w:rPr>
        <w:t>该企业为</w:t>
      </w:r>
      <w:r>
        <w:rPr>
          <w:rFonts w:hint="eastAsia" w:ascii="Times New Roman" w:hAnsi="Times New Roman" w:cs="Times New Roman"/>
          <w:bCs/>
          <w:kern w:val="0"/>
          <w:szCs w:val="21"/>
          <w:lang w:eastAsia="zh-CN"/>
        </w:rPr>
        <w:t>：</w:t>
      </w:r>
      <w:bookmarkStart w:id="3" w:name="审核范围"/>
      <w:r>
        <w:rPr>
          <w:color w:val="000000"/>
          <w:szCs w:val="21"/>
        </w:rPr>
        <w:t>教学设备、公寓家具、教室家具、办公家具、金属家具、钢木家具、钢塑家具、实木家具</w:t>
      </w:r>
      <w:r>
        <w:rPr>
          <w:rFonts w:hint="eastAsia"/>
          <w:color w:val="000000"/>
          <w:szCs w:val="21"/>
          <w:lang w:eastAsia="zh-CN"/>
        </w:rPr>
        <w:t>、</w:t>
      </w:r>
      <w:r>
        <w:rPr>
          <w:color w:val="000000"/>
          <w:szCs w:val="21"/>
        </w:rPr>
        <w:t>礼堂椅、实验室设备、职教实训设备、创客教室设备、心理咨询室设备、幼教设备、体育器材、音乐器材、美术器材、教学仪器、餐桌、餐椅、户（内）外健身路径的设计、生产销售服务及教学仪器的销售服务</w:t>
      </w:r>
      <w:bookmarkEnd w:id="3"/>
      <w:r>
        <w:rPr>
          <w:color w:val="000000"/>
          <w:szCs w:val="21"/>
        </w:rPr>
        <w:t>等</w:t>
      </w:r>
      <w:r>
        <w:rPr>
          <w:rFonts w:hint="eastAsia" w:ascii="宋体" w:hAnsi="宋体"/>
          <w:szCs w:val="21"/>
          <w:lang w:eastAsia="zh-CN"/>
        </w:rPr>
        <w:t>。</w:t>
      </w:r>
      <w:r>
        <w:rPr>
          <w:rFonts w:hint="eastAsia" w:eastAsia="新宋体"/>
          <w:sz w:val="21"/>
          <w:szCs w:val="21"/>
          <w:lang w:eastAsia="zh-CN"/>
        </w:rPr>
        <w:t>质检部（技术）织</w:t>
      </w:r>
      <w:r>
        <w:rPr>
          <w:rFonts w:hint="eastAsia" w:ascii="宋体" w:hAnsi="宋体" w:cs="宋体"/>
          <w:b w:val="0"/>
          <w:bCs w:val="0"/>
          <w:kern w:val="0"/>
          <w:szCs w:val="21"/>
        </w:rPr>
        <w:t>识别了</w:t>
      </w:r>
      <w:r>
        <w:rPr>
          <w:rFonts w:hint="eastAsia" w:ascii="宋体" w:hAnsi="宋体" w:eastAsia="宋体" w:cs="宋体"/>
          <w:snapToGrid w:val="0"/>
          <w:color w:val="000000"/>
          <w:kern w:val="0"/>
          <w:szCs w:val="21"/>
          <w:lang w:val="en-US" w:eastAsia="zh-CN"/>
        </w:rPr>
        <w:t>6</w:t>
      </w:r>
      <w:r>
        <w:rPr>
          <w:rFonts w:hint="eastAsia" w:ascii="宋体" w:hAnsi="宋体" w:cs="宋体"/>
          <w:kern w:val="0"/>
          <w:szCs w:val="21"/>
          <w:lang w:val="en-US" w:eastAsia="zh-CN"/>
        </w:rPr>
        <w:t>个关键测量过程</w:t>
      </w:r>
      <w:r>
        <w:rPr>
          <w:rFonts w:hint="eastAsia" w:ascii="宋体" w:hAnsi="宋体" w:cs="宋体"/>
          <w:b w:val="0"/>
          <w:bCs w:val="0"/>
          <w:kern w:val="0"/>
          <w:szCs w:val="21"/>
          <w:highlight w:val="none"/>
        </w:rPr>
        <w:t>，</w:t>
      </w:r>
      <w:r>
        <w:rPr>
          <w:rFonts w:hint="eastAsia" w:ascii="宋体" w:hAnsi="宋体" w:cs="宋体"/>
          <w:b w:val="0"/>
          <w:bCs w:val="0"/>
          <w:kern w:val="0"/>
          <w:szCs w:val="21"/>
          <w:highlight w:val="none"/>
          <w:lang w:eastAsia="zh-CN"/>
        </w:rPr>
        <w:t>其中</w:t>
      </w:r>
      <w:r>
        <w:rPr>
          <w:rFonts w:hint="eastAsia"/>
          <w:lang w:eastAsia="zh-CN"/>
        </w:rPr>
        <w:t>实验桌台面厚度测量</w:t>
      </w:r>
      <w:r>
        <w:rPr>
          <w:rFonts w:hint="eastAsia" w:ascii="宋体" w:hAnsi="宋体" w:cs="宋体"/>
          <w:kern w:val="0"/>
          <w:szCs w:val="21"/>
          <w:lang w:val="en-US" w:eastAsia="zh-CN"/>
        </w:rPr>
        <w:t>、物理实验桌开孔尺寸测量</w:t>
      </w:r>
      <w:r>
        <w:rPr>
          <w:rFonts w:hint="eastAsia" w:ascii="宋体" w:hAnsi="宋体" w:eastAsia="宋体" w:cs="宋体"/>
          <w:snapToGrid w:val="0"/>
          <w:color w:val="000000"/>
          <w:kern w:val="0"/>
          <w:szCs w:val="21"/>
          <w:lang w:eastAsia="zh-CN"/>
        </w:rPr>
        <w:t>等</w:t>
      </w:r>
      <w:r>
        <w:rPr>
          <w:rFonts w:hint="eastAsia" w:ascii="宋体" w:hAnsi="宋体" w:cs="宋体"/>
          <w:kern w:val="0"/>
          <w:szCs w:val="21"/>
          <w:lang w:val="en-US" w:eastAsia="zh-CN"/>
        </w:rPr>
        <w:t>关键测量过程，</w:t>
      </w:r>
      <w:r>
        <w:rPr>
          <w:rFonts w:hint="eastAsia" w:ascii="宋体" w:hAnsi="宋体" w:cs="宋体"/>
          <w:bCs/>
          <w:kern w:val="0"/>
          <w:szCs w:val="21"/>
          <w:lang w:eastAsia="zh-CN"/>
        </w:rPr>
        <w:t>没有增加新的测量过程；</w:t>
      </w:r>
      <w:r>
        <w:rPr>
          <w:rFonts w:hint="eastAsia" w:ascii="宋体" w:hAnsi="宋体" w:cs="宋体"/>
          <w:bCs/>
          <w:kern w:val="0"/>
          <w:szCs w:val="21"/>
        </w:rPr>
        <w:t>“</w:t>
      </w:r>
      <w:r>
        <w:rPr>
          <w:rFonts w:hint="eastAsia"/>
          <w:lang w:eastAsia="zh-CN"/>
        </w:rPr>
        <w:t>实验桌台面厚度测量</w:t>
      </w:r>
      <w:r>
        <w:rPr>
          <w:rFonts w:hint="eastAsia" w:ascii="宋体" w:hAnsi="宋体" w:cs="宋体"/>
          <w:bCs/>
          <w:kern w:val="0"/>
          <w:szCs w:val="21"/>
        </w:rPr>
        <w:t>”为</w:t>
      </w:r>
      <w:r>
        <w:rPr>
          <w:rFonts w:hint="eastAsia" w:ascii="宋体" w:hAnsi="宋体" w:cs="宋体"/>
          <w:bCs/>
          <w:kern w:val="0"/>
          <w:szCs w:val="21"/>
          <w:lang w:eastAsia="zh-CN"/>
        </w:rPr>
        <w:t>高度</w:t>
      </w:r>
      <w:r>
        <w:rPr>
          <w:rFonts w:hint="eastAsia" w:ascii="宋体" w:hAnsi="宋体" w:cs="宋体"/>
          <w:bCs/>
          <w:kern w:val="0"/>
          <w:szCs w:val="21"/>
        </w:rPr>
        <w:t>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ascii="Times New Roman" w:hAnsi="Times New Roman" w:cs="Times New Roman"/>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13</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Fonts w:hint="eastAsia"/>
          <w:lang w:eastAsia="zh-CN"/>
        </w:rPr>
        <w:t>实验桌台面厚度测量</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查原有</w:t>
      </w:r>
      <w:r>
        <w:rPr>
          <w:rFonts w:ascii="Times New Roman" w:hAnsi="Times New Roman" w:cs="Times New Roman"/>
          <w:bCs/>
          <w:kern w:val="0"/>
          <w:szCs w:val="21"/>
        </w:rPr>
        <w:t>《</w:t>
      </w:r>
      <w:r>
        <w:rPr>
          <w:rFonts w:hint="eastAsia"/>
          <w:lang w:eastAsia="zh-CN"/>
        </w:rPr>
        <w:t>实验桌台面厚度测量</w:t>
      </w:r>
      <w:r>
        <w:rPr>
          <w:rFonts w:ascii="Times New Roman" w:hAnsi="Times New Roman" w:cs="Times New Roman"/>
          <w:bCs/>
          <w:kern w:val="0"/>
          <w:szCs w:val="21"/>
        </w:rPr>
        <w:t>》，计量要求导出和计量验证记录表填写规范，计量要求导出方法正确；测量设备的配备满足计量要求，测量设备经过检定校准，测量设备验证方法正确。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lang w:eastAsia="zh-CN"/>
        </w:rPr>
        <w:t>实验桌台面厚度测量</w:t>
      </w:r>
      <w:r>
        <w:rPr>
          <w:rFonts w:hint="eastAsia" w:ascii="Times New Roman" w:hAnsi="Times New Roman"/>
          <w:sz w:val="21"/>
          <w:szCs w:val="21"/>
        </w:rPr>
        <w:t>测量过程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highlight w:val="none"/>
        </w:rPr>
      </w:pPr>
      <w:r>
        <w:rPr>
          <w:rFonts w:ascii="Times New Roman" w:hAnsi="Times New Roman" w:cs="Times New Roman"/>
          <w:bCs/>
          <w:kern w:val="0"/>
          <w:sz w:val="21"/>
          <w:szCs w:val="21"/>
        </w:rPr>
        <w:t>4.5、查《</w:t>
      </w:r>
      <w:r>
        <w:rPr>
          <w:rFonts w:hint="eastAsia"/>
          <w:lang w:eastAsia="zh-CN"/>
        </w:rPr>
        <w:t>实验桌台面厚度测量</w:t>
      </w:r>
      <w:r>
        <w:rPr>
          <w:rFonts w:hint="eastAsia" w:ascii="宋体" w:hAnsi="宋体" w:cs="宋体"/>
          <w:sz w:val="21"/>
          <w:szCs w:val="21"/>
        </w:rPr>
        <w:t>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w:t>
      </w:r>
      <w:r>
        <w:rPr>
          <w:rFonts w:ascii="Times New Roman" w:hAnsi="Times New Roman" w:cs="Times New Roman"/>
          <w:bCs/>
          <w:kern w:val="0"/>
          <w:szCs w:val="21"/>
          <w:highlight w:val="none"/>
        </w:rPr>
        <w:t>确。</w:t>
      </w:r>
    </w:p>
    <w:p>
      <w:pPr>
        <w:widowControl/>
        <w:spacing w:line="360" w:lineRule="auto"/>
        <w:rPr>
          <w:rFonts w:hint="eastAsia" w:ascii="Times New Roman" w:hAnsi="Times New Roman" w:cs="Times New Roman" w:eastAsiaTheme="minorEastAsia"/>
          <w:bCs/>
          <w:color w:val="auto"/>
          <w:kern w:val="0"/>
          <w:szCs w:val="21"/>
          <w:lang w:val="en-US" w:eastAsia="zh-CN"/>
        </w:rPr>
      </w:pPr>
      <w:r>
        <w:rPr>
          <w:rFonts w:ascii="Times New Roman" w:hAnsi="Times New Roman" w:cs="Times New Roman"/>
          <w:bCs/>
          <w:kern w:val="0"/>
          <w:sz w:val="21"/>
          <w:szCs w:val="21"/>
          <w:highlight w:val="none"/>
        </w:rPr>
        <w:t>4.</w:t>
      </w:r>
      <w:r>
        <w:rPr>
          <w:rFonts w:hint="eastAsia" w:ascii="Times New Roman" w:hAnsi="Times New Roman" w:cs="Times New Roman"/>
          <w:bCs/>
          <w:kern w:val="0"/>
          <w:sz w:val="21"/>
          <w:szCs w:val="21"/>
          <w:highlight w:val="none"/>
          <w:lang w:val="en-US" w:eastAsia="zh-CN"/>
        </w:rPr>
        <w:t>6</w:t>
      </w:r>
      <w:r>
        <w:rPr>
          <w:rFonts w:hint="eastAsia" w:cs="宋体" w:asciiTheme="minorEastAsia" w:hAnsiTheme="minorEastAsia"/>
          <w:color w:val="auto"/>
          <w:kern w:val="0"/>
          <w:szCs w:val="21"/>
          <w:highlight w:val="none"/>
        </w:rPr>
        <w:t>测量设备的溯源：</w:t>
      </w:r>
      <w:r>
        <w:rPr>
          <w:rFonts w:hint="eastAsia" w:cs="宋体" w:asciiTheme="minorEastAsia" w:hAnsiTheme="minorEastAsia"/>
          <w:color w:val="auto"/>
          <w:kern w:val="0"/>
          <w:szCs w:val="21"/>
          <w:highlight w:val="none"/>
          <w:lang w:eastAsia="zh-CN"/>
        </w:rPr>
        <w:t>企</w:t>
      </w:r>
      <w:r>
        <w:rPr>
          <w:rFonts w:hint="eastAsia" w:cs="宋体" w:asciiTheme="minorEastAsia" w:hAnsiTheme="minorEastAsia"/>
          <w:color w:val="auto"/>
          <w:kern w:val="0"/>
          <w:szCs w:val="21"/>
          <w:lang w:eastAsia="zh-CN"/>
        </w:rPr>
        <w:t>业未</w:t>
      </w:r>
      <w:r>
        <w:rPr>
          <w:rFonts w:hint="eastAsia" w:ascii="宋体" w:hAnsi="宋体" w:eastAsia="宋体"/>
          <w:bCs/>
          <w:color w:val="auto"/>
          <w:szCs w:val="21"/>
        </w:rPr>
        <w:t>建立最高标准</w:t>
      </w:r>
      <w:r>
        <w:rPr>
          <w:rFonts w:hint="eastAsia" w:ascii="宋体" w:hAnsi="宋体" w:eastAsia="宋体"/>
          <w:bCs/>
          <w:color w:val="auto"/>
          <w:sz w:val="21"/>
          <w:szCs w:val="21"/>
        </w:rPr>
        <w:t>，企业测量设备除自检外送</w:t>
      </w:r>
      <w:r>
        <w:rPr>
          <w:rFonts w:hint="eastAsia" w:ascii="宋体" w:hAnsi="宋体" w:eastAsia="宋体" w:cs="宋体"/>
          <w:sz w:val="21"/>
          <w:szCs w:val="21"/>
          <w:lang w:eastAsia="zh-CN"/>
        </w:rPr>
        <w:t>东莞市帝恩检测有限公司</w:t>
      </w:r>
      <w:r>
        <w:rPr>
          <w:rFonts w:hint="eastAsia" w:cs="Tahoma"/>
          <w:color w:val="auto"/>
          <w:sz w:val="21"/>
          <w:szCs w:val="21"/>
          <w:lang w:eastAsia="zh-CN"/>
        </w:rPr>
        <w:t>，</w:t>
      </w:r>
      <w:r>
        <w:rPr>
          <w:rFonts w:hint="eastAsia"/>
          <w:color w:val="auto"/>
          <w:sz w:val="21"/>
          <w:szCs w:val="21"/>
          <w:highlight w:val="none"/>
          <w:lang w:val="en-US" w:eastAsia="zh-CN"/>
        </w:rPr>
        <w:t>其机构</w:t>
      </w:r>
      <w:r>
        <w:rPr>
          <w:rFonts w:hint="eastAsia" w:ascii="宋体" w:hAnsi="宋体" w:eastAsia="宋体" w:cs="宋体"/>
          <w:color w:val="auto"/>
          <w:sz w:val="21"/>
          <w:szCs w:val="21"/>
          <w:highlight w:val="none"/>
        </w:rPr>
        <w:t xml:space="preserve">注册号为CNAS </w:t>
      </w:r>
      <w:r>
        <w:rPr>
          <w:rFonts w:hint="eastAsia" w:ascii="宋体" w:hAnsi="宋体" w:eastAsia="宋体" w:cs="宋体"/>
          <w:color w:val="auto"/>
          <w:sz w:val="21"/>
          <w:szCs w:val="21"/>
          <w:highlight w:val="none"/>
          <w:lang w:val="en-US" w:eastAsia="zh-CN"/>
        </w:rPr>
        <w:t>L6483；</w:t>
      </w:r>
      <w:r>
        <w:rPr>
          <w:rFonts w:hint="eastAsia"/>
          <w:color w:val="auto"/>
          <w:sz w:val="21"/>
          <w:szCs w:val="21"/>
          <w:highlight w:val="none"/>
          <w:lang w:val="en-US" w:eastAsia="zh-CN"/>
        </w:rPr>
        <w:t>量</w:t>
      </w:r>
      <w:r>
        <w:rPr>
          <w:rFonts w:hint="eastAsia" w:ascii="宋体" w:hAnsi="宋体" w:eastAsia="宋体" w:cs="宋体"/>
          <w:color w:val="auto"/>
          <w:sz w:val="21"/>
          <w:szCs w:val="21"/>
          <w:highlight w:val="none"/>
        </w:rPr>
        <w:t>值溯源符合标准要求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随机抽查</w:t>
      </w:r>
      <w:r>
        <w:rPr>
          <w:rFonts w:hint="eastAsia" w:ascii="宋体" w:hAnsi="宋体" w:eastAsia="宋体" w:cs="宋体"/>
          <w:color w:val="auto"/>
          <w:sz w:val="21"/>
          <w:szCs w:val="21"/>
          <w:highlight w:val="none"/>
          <w:lang w:val="en-US" w:eastAsia="zh-CN"/>
        </w:rPr>
        <w:t>5份校准证书</w:t>
      </w:r>
      <w:r>
        <w:rPr>
          <w:rFonts w:hint="eastAsia" w:ascii="宋体" w:hAnsi="宋体" w:eastAsia="宋体" w:cs="宋体"/>
          <w:color w:val="auto"/>
          <w:sz w:val="21"/>
          <w:szCs w:val="21"/>
          <w:highlight w:val="none"/>
        </w:rPr>
        <w:t>，证书中使用的计量标准符合要求，填写规范，信息无遗漏，授权人</w:t>
      </w:r>
      <w:r>
        <w:rPr>
          <w:rFonts w:ascii="Times New Roman" w:hAnsi="Times New Roman"/>
          <w:color w:val="auto"/>
          <w:sz w:val="21"/>
          <w:szCs w:val="21"/>
          <w:highlight w:val="none"/>
        </w:rPr>
        <w:t>签章资质有效，符合要求。详见附件《测量设备溯源抽查表》。</w:t>
      </w:r>
    </w:p>
    <w:p>
      <w:pPr>
        <w:snapToGrid w:val="0"/>
        <w:spacing w:line="460" w:lineRule="exact"/>
        <w:rPr>
          <w:rFonts w:hint="eastAsia" w:ascii="宋体" w:hAnsi="宋体" w:cs="宋体"/>
          <w:bCs/>
          <w:kern w:val="0"/>
          <w:szCs w:val="21"/>
          <w:lang w:eastAsia="zh-CN"/>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上次认证</w:t>
      </w:r>
      <w:r>
        <w:rPr>
          <w:rFonts w:hint="eastAsia" w:ascii="宋体" w:hAnsi="宋体" w:cs="宋体"/>
          <w:bCs/>
          <w:kern w:val="0"/>
          <w:szCs w:val="21"/>
        </w:rPr>
        <w:t>审核时提出的不符合项的纠正措施情况：</w:t>
      </w:r>
    </w:p>
    <w:p>
      <w:pPr>
        <w:snapToGrid w:val="0"/>
        <w:spacing w:line="460" w:lineRule="exact"/>
        <w:ind w:firstLine="420" w:firstLineChars="200"/>
        <w:rPr>
          <w:rFonts w:ascii="宋体" w:hAnsi="宋体" w:cs="宋体"/>
          <w:bCs/>
          <w:kern w:val="0"/>
          <w:szCs w:val="21"/>
        </w:rPr>
      </w:pPr>
      <w:r>
        <w:rPr>
          <w:rFonts w:hint="eastAsia" w:ascii="宋体" w:hAnsi="宋体"/>
          <w:b w:val="0"/>
          <w:bCs/>
          <w:szCs w:val="21"/>
        </w:rPr>
        <w:t>公司</w:t>
      </w:r>
      <w:r>
        <w:rPr>
          <w:rFonts w:hint="eastAsia" w:ascii="宋体" w:hAnsi="宋体"/>
          <w:b w:val="0"/>
          <w:bCs/>
          <w:sz w:val="21"/>
          <w:szCs w:val="21"/>
        </w:rPr>
        <w:t>对上年度</w:t>
      </w:r>
      <w:r>
        <w:rPr>
          <w:rFonts w:hint="eastAsia" w:ascii="宋体" w:hAnsi="宋体"/>
          <w:b w:val="0"/>
          <w:bCs/>
          <w:sz w:val="21"/>
          <w:szCs w:val="21"/>
          <w:lang w:eastAsia="zh-CN"/>
        </w:rPr>
        <w:t>认证</w:t>
      </w:r>
      <w:r>
        <w:rPr>
          <w:rFonts w:hint="eastAsia" w:ascii="宋体" w:hAnsi="宋体"/>
          <w:b w:val="0"/>
          <w:bCs/>
          <w:sz w:val="21"/>
          <w:szCs w:val="21"/>
        </w:rPr>
        <w:t>审核中的</w:t>
      </w:r>
      <w:r>
        <w:rPr>
          <w:rFonts w:hint="eastAsia" w:ascii="宋体" w:hAnsi="宋体"/>
          <w:b w:val="0"/>
          <w:bCs/>
          <w:sz w:val="21"/>
          <w:szCs w:val="21"/>
          <w:lang w:val="en-US" w:eastAsia="zh-CN"/>
        </w:rPr>
        <w:t>1</w:t>
      </w:r>
      <w:r>
        <w:rPr>
          <w:rFonts w:hint="eastAsia" w:ascii="宋体" w:hAnsi="宋体"/>
          <w:b w:val="0"/>
          <w:bCs/>
          <w:sz w:val="21"/>
          <w:szCs w:val="21"/>
        </w:rPr>
        <w:t>个不符合项，及时制定整改计划，采取了如下纠正措施：已对开出的不符合项：</w:t>
      </w:r>
      <w:r>
        <w:rPr>
          <w:rFonts w:hint="eastAsia" w:ascii="宋体" w:hAnsi="宋体"/>
          <w:b w:val="0"/>
          <w:bCs/>
          <w:sz w:val="21"/>
          <w:szCs w:val="21"/>
          <w:lang w:eastAsia="zh-CN"/>
        </w:rPr>
        <w:t>“</w:t>
      </w:r>
      <w:r>
        <w:rPr>
          <w:rFonts w:hint="eastAsia"/>
        </w:rPr>
        <w:t>企业</w:t>
      </w:r>
      <w:r>
        <w:rPr>
          <w:rFonts w:hint="eastAsia"/>
          <w:szCs w:val="21"/>
        </w:rPr>
        <w:t>编号为</w:t>
      </w:r>
      <w:r>
        <w:rPr>
          <w:rFonts w:hint="eastAsia"/>
          <w:color w:val="000000"/>
          <w:szCs w:val="21"/>
          <w:lang w:val="en-US" w:eastAsia="zh-CN"/>
        </w:rPr>
        <w:t>YC/WP-11-2</w:t>
      </w:r>
      <w:r>
        <w:rPr>
          <w:rFonts w:hint="eastAsia"/>
          <w:color w:val="000000"/>
          <w:szCs w:val="21"/>
        </w:rPr>
        <w:t>《</w:t>
      </w:r>
      <w:r>
        <w:rPr>
          <w:rFonts w:hint="eastAsia"/>
          <w:color w:val="000000"/>
          <w:szCs w:val="21"/>
          <w:lang w:eastAsia="zh-CN"/>
        </w:rPr>
        <w:t>喷涂作业</w:t>
      </w:r>
      <w:r>
        <w:rPr>
          <w:rFonts w:hint="eastAsia"/>
          <w:color w:val="000000"/>
          <w:szCs w:val="21"/>
        </w:rPr>
        <w:t>指导书》，</w:t>
      </w:r>
      <w:r>
        <w:rPr>
          <w:rFonts w:hint="eastAsia"/>
          <w:color w:val="000000"/>
          <w:szCs w:val="21"/>
          <w:lang w:eastAsia="zh-CN"/>
        </w:rPr>
        <w:t>所依据的标准要求、受控状态等信息未描述</w:t>
      </w:r>
      <w:r>
        <w:rPr>
          <w:rFonts w:hint="eastAsia"/>
          <w:color w:val="000000"/>
          <w:szCs w:val="21"/>
        </w:rPr>
        <w:t>，</w:t>
      </w:r>
      <w:r>
        <w:rPr>
          <w:rFonts w:hint="eastAsia"/>
          <w:color w:val="000000"/>
          <w:szCs w:val="21"/>
          <w:lang w:eastAsia="zh-CN"/>
        </w:rPr>
        <w:t>不</w:t>
      </w:r>
      <w:r>
        <w:rPr>
          <w:rFonts w:hint="eastAsia"/>
          <w:color w:val="000000"/>
          <w:szCs w:val="21"/>
        </w:rPr>
        <w:t>符合</w:t>
      </w:r>
      <w:r>
        <w:rPr>
          <w:rFonts w:hint="eastAsia"/>
          <w:color w:val="000000"/>
          <w:szCs w:val="21"/>
          <w:lang w:val="en-US" w:eastAsia="zh-CN"/>
        </w:rPr>
        <w:t>GB/T19022-2003</w:t>
      </w:r>
      <w:r>
        <w:rPr>
          <w:rFonts w:hint="eastAsia"/>
          <w:color w:val="000000"/>
          <w:szCs w:val="21"/>
        </w:rPr>
        <w:t>标准</w:t>
      </w:r>
      <w:r>
        <w:rPr>
          <w:rFonts w:hint="eastAsia"/>
          <w:color w:val="000000"/>
          <w:szCs w:val="21"/>
          <w:lang w:val="en-US" w:eastAsia="zh-CN"/>
        </w:rPr>
        <w:t>6.2.1条款</w:t>
      </w:r>
      <w:r>
        <w:rPr>
          <w:rFonts w:hint="eastAsia"/>
          <w:color w:val="000000"/>
          <w:szCs w:val="21"/>
        </w:rPr>
        <w:t>要求</w:t>
      </w:r>
      <w:r>
        <w:rPr>
          <w:rFonts w:hint="eastAsia"/>
          <w:color w:val="000000"/>
          <w:szCs w:val="21"/>
          <w:lang w:eastAsia="zh-CN"/>
        </w:rPr>
        <w:t>”</w:t>
      </w:r>
      <w:r>
        <w:rPr>
          <w:rFonts w:hint="eastAsia" w:ascii="宋体" w:hAnsi="宋体"/>
          <w:sz w:val="21"/>
          <w:szCs w:val="21"/>
        </w:rPr>
        <w:t>，</w:t>
      </w:r>
      <w:r>
        <w:rPr>
          <w:rFonts w:hint="eastAsia" w:ascii="Times New Roman" w:hAnsi="Times New Roman"/>
          <w:b w:val="0"/>
          <w:bCs/>
          <w:sz w:val="21"/>
          <w:szCs w:val="21"/>
          <w:lang w:val="en-US" w:eastAsia="zh-CN"/>
        </w:rPr>
        <w:t>.</w:t>
      </w:r>
      <w:r>
        <w:rPr>
          <w:rFonts w:hint="eastAsia" w:ascii="宋体" w:hAnsi="宋体" w:cs="宋体"/>
          <w:b w:val="0"/>
          <w:bCs/>
          <w:kern w:val="0"/>
          <w:sz w:val="21"/>
          <w:szCs w:val="21"/>
        </w:rPr>
        <w:t>经本次现场审核，审核组通过对整改完成情况及纠正措施有效性进行查验，确认公司上次审核中确定的</w:t>
      </w:r>
      <w:r>
        <w:rPr>
          <w:rFonts w:hint="eastAsia" w:ascii="宋体" w:hAnsi="宋体" w:cs="宋体"/>
          <w:b w:val="0"/>
          <w:bCs/>
          <w:kern w:val="0"/>
          <w:sz w:val="21"/>
          <w:szCs w:val="21"/>
          <w:lang w:val="en-US" w:eastAsia="zh-CN"/>
        </w:rPr>
        <w:t>1</w:t>
      </w:r>
      <w:r>
        <w:rPr>
          <w:rFonts w:hint="eastAsia" w:ascii="宋体" w:hAnsi="宋体" w:cs="宋体"/>
          <w:b w:val="0"/>
          <w:bCs/>
          <w:kern w:val="0"/>
          <w:sz w:val="21"/>
          <w:szCs w:val="21"/>
        </w:rPr>
        <w:t>个不符合项，该公司</w:t>
      </w:r>
      <w:r>
        <w:rPr>
          <w:rFonts w:hint="eastAsia" w:ascii="宋体" w:hAnsi="宋体" w:cs="宋体"/>
          <w:kern w:val="0"/>
          <w:sz w:val="21"/>
          <w:szCs w:val="21"/>
        </w:rPr>
        <w:t>所采取的纠正措施按时整改完成，纠正措施有效，预防再次发生。同意关闭不符合项。</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rPr>
          <w:rFonts w:hint="eastAsia"/>
          <w:szCs w:val="21"/>
          <w:lang w:eastAsia="zh-CN"/>
        </w:rPr>
      </w:pPr>
      <w:r>
        <w:rPr>
          <w:rFonts w:hint="eastAsia" w:ascii="宋体" w:hAnsi="宋体" w:cs="宋体"/>
          <w:bCs/>
          <w:kern w:val="0"/>
          <w:szCs w:val="21"/>
        </w:rPr>
        <w:t>公司目前尚未接到客户在</w:t>
      </w:r>
      <w:r>
        <w:rPr>
          <w:rFonts w:hint="eastAsia" w:ascii="宋体" w:hAnsi="宋体" w:cs="宋体"/>
          <w:bCs/>
          <w:kern w:val="0"/>
          <w:szCs w:val="21"/>
          <w:lang w:eastAsia="zh-CN"/>
        </w:rPr>
        <w:t>生产</w:t>
      </w:r>
      <w:r>
        <w:rPr>
          <w:rFonts w:hint="eastAsia" w:ascii="宋体" w:hAnsi="宋体" w:cs="宋体"/>
          <w:bCs/>
          <w:kern w:val="0"/>
          <w:szCs w:val="21"/>
        </w:rPr>
        <w:t>产品</w:t>
      </w:r>
      <w:r>
        <w:rPr>
          <w:rFonts w:hint="eastAsia" w:ascii="宋体" w:hAnsi="宋体" w:cs="宋体"/>
          <w:bCs/>
          <w:kern w:val="0"/>
          <w:szCs w:val="21"/>
          <w:lang w:eastAsia="zh-CN"/>
        </w:rPr>
        <w:t>、销售、</w:t>
      </w:r>
      <w:r>
        <w:rPr>
          <w:rFonts w:hint="eastAsia"/>
          <w:szCs w:val="21"/>
          <w:lang w:eastAsia="zh-CN"/>
        </w:rPr>
        <w:t>服务</w:t>
      </w:r>
      <w:r>
        <w:rPr>
          <w:rFonts w:hint="eastAsia" w:ascii="宋体" w:hAnsi="宋体" w:cs="宋体"/>
          <w:bCs/>
          <w:kern w:val="0"/>
          <w:szCs w:val="21"/>
          <w:lang w:eastAsia="zh-CN"/>
        </w:rPr>
        <w:t>产品在</w:t>
      </w:r>
      <w:r>
        <w:rPr>
          <w:rFonts w:hint="eastAsia" w:ascii="宋体" w:hAnsi="宋体" w:cs="宋体"/>
          <w:bCs/>
          <w:kern w:val="0"/>
          <w:szCs w:val="21"/>
        </w:rPr>
        <w:t>质量、物料交接、安全、现场管理等方面的投诉和纠纷。</w:t>
      </w:r>
      <w:r>
        <w:rPr>
          <w:szCs w:val="21"/>
        </w:rPr>
        <w:t>企业</w:t>
      </w:r>
      <w:r>
        <w:rPr>
          <w:rFonts w:hint="eastAsia"/>
          <w:szCs w:val="21"/>
          <w:lang w:eastAsia="zh-CN"/>
        </w:rPr>
        <w:t>在</w:t>
      </w:r>
      <w:r>
        <w:rPr>
          <w:szCs w:val="21"/>
        </w:rPr>
        <w:t>生产产品</w:t>
      </w:r>
      <w:r>
        <w:rPr>
          <w:rFonts w:hint="eastAsia"/>
          <w:szCs w:val="21"/>
          <w:lang w:eastAsia="zh-CN"/>
        </w:rPr>
        <w:t>和销售、服务产品均能</w:t>
      </w:r>
      <w:r>
        <w:rPr>
          <w:szCs w:val="21"/>
        </w:rPr>
        <w:t>够满足顾客</w:t>
      </w:r>
      <w:r>
        <w:rPr>
          <w:rFonts w:hint="eastAsia"/>
          <w:szCs w:val="21"/>
          <w:lang w:eastAsia="zh-CN"/>
        </w:rPr>
        <w:t>在</w:t>
      </w:r>
      <w:r>
        <w:rPr>
          <w:szCs w:val="21"/>
        </w:rPr>
        <w:t>行业标准对产品</w:t>
      </w:r>
      <w:r>
        <w:rPr>
          <w:rFonts w:hint="eastAsia"/>
          <w:szCs w:val="21"/>
          <w:lang w:eastAsia="zh-CN"/>
        </w:rPr>
        <w:t>和销售、服务</w:t>
      </w:r>
      <w:r>
        <w:rPr>
          <w:szCs w:val="21"/>
        </w:rPr>
        <w:t>的要求。产品质量较好，未有顾客投诉。顾客</w:t>
      </w:r>
      <w:r>
        <w:rPr>
          <w:rFonts w:hint="eastAsia"/>
          <w:szCs w:val="21"/>
          <w:lang w:eastAsia="zh-CN"/>
        </w:rPr>
        <w:t>满意度达到标准要求。</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企业规定了公司的计量工作目标</w:t>
      </w:r>
      <w:r>
        <w:rPr>
          <w:rFonts w:hint="eastAsia" w:cs="宋体" w:asciiTheme="minorEastAsia" w:hAnsiTheme="minorEastAsia"/>
          <w:bCs/>
          <w:kern w:val="0"/>
          <w:szCs w:val="21"/>
          <w:lang w:val="en-US" w:eastAsia="zh-CN"/>
        </w:rPr>
        <w:t>5</w:t>
      </w:r>
      <w:r>
        <w:rPr>
          <w:rFonts w:hint="eastAsia" w:cs="宋体" w:asciiTheme="minorEastAsia" w:hAnsiTheme="minorEastAsia"/>
          <w:bCs/>
          <w:kern w:val="0"/>
          <w:szCs w:val="21"/>
        </w:rPr>
        <w:t>项，质量目标与计量方针一致。202</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年度质量目标已分解。抽查企业</w:t>
      </w:r>
      <w:r>
        <w:rPr>
          <w:rFonts w:hint="eastAsia" w:cs="宋体" w:asciiTheme="minorEastAsia" w:hAnsiTheme="minorEastAsia"/>
          <w:bCs/>
          <w:kern w:val="0"/>
          <w:szCs w:val="21"/>
          <w:lang w:val="en-US" w:eastAsia="zh-CN"/>
        </w:rPr>
        <w:t>2021年3-12月和2022年2月，5</w:t>
      </w:r>
      <w:r>
        <w:rPr>
          <w:rFonts w:hint="eastAsia" w:cs="宋体" w:asciiTheme="minorEastAsia" w:hAnsiTheme="minorEastAsia"/>
          <w:bCs/>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numPr>
          <w:ilvl w:val="0"/>
          <w:numId w:val="0"/>
        </w:numPr>
        <w:spacing w:line="360" w:lineRule="auto"/>
        <w:ind w:firstLine="420" w:firstLineChars="200"/>
        <w:jc w:val="left"/>
        <w:rPr>
          <w:rFonts w:hint="eastAsia" w:ascii="宋体" w:hAnsi="宋体"/>
          <w:bCs/>
          <w:szCs w:val="21"/>
        </w:rPr>
      </w:pPr>
      <w:r>
        <w:rPr>
          <w:rFonts w:hint="eastAsia" w:ascii="宋体" w:hAnsi="宋体"/>
          <w:bCs/>
          <w:szCs w:val="21"/>
        </w:rPr>
        <w:t>企业的资质情况</w:t>
      </w:r>
      <w:r>
        <w:rPr>
          <w:rFonts w:hint="eastAsia" w:ascii="宋体" w:hAnsi="宋体"/>
          <w:bCs/>
          <w:szCs w:val="21"/>
          <w:lang w:eastAsia="zh-CN"/>
        </w:rPr>
        <w:t>未</w:t>
      </w:r>
      <w:r>
        <w:rPr>
          <w:rFonts w:hint="eastAsia" w:ascii="宋体" w:hAnsi="宋体"/>
          <w:bCs/>
          <w:szCs w:val="21"/>
        </w:rPr>
        <w:t>发生变化，</w:t>
      </w:r>
      <w:r>
        <w:rPr>
          <w:rFonts w:hint="eastAsia" w:ascii="宋体" w:hAnsi="宋体"/>
          <w:bCs/>
          <w:szCs w:val="21"/>
          <w:lang w:val="en-US" w:eastAsia="zh-CN"/>
        </w:rPr>
        <w:t xml:space="preserve"> </w:t>
      </w:r>
      <w:r>
        <w:rPr>
          <w:rFonts w:hint="eastAsia" w:ascii="宋体" w:hAnsi="宋体"/>
          <w:bCs/>
          <w:szCs w:val="21"/>
        </w:rPr>
        <w:t>组织</w:t>
      </w:r>
      <w:r>
        <w:rPr>
          <w:rFonts w:hint="eastAsia" w:ascii="宋体" w:hAnsi="宋体"/>
          <w:bCs/>
          <w:szCs w:val="21"/>
          <w:lang w:eastAsia="zh-CN"/>
        </w:rPr>
        <w:t>机构没有变更</w:t>
      </w:r>
      <w:r>
        <w:rPr>
          <w:rFonts w:hint="eastAsia" w:ascii="宋体" w:hAnsi="宋体"/>
          <w:bCs/>
          <w:szCs w:val="21"/>
        </w:rPr>
        <w:t>。</w:t>
      </w:r>
      <w:r>
        <w:rPr>
          <w:rFonts w:hint="eastAsia" w:ascii="宋体" w:hAnsi="宋体"/>
          <w:bCs/>
          <w:szCs w:val="21"/>
          <w:lang w:val="en-US" w:eastAsia="zh-CN"/>
        </w:rPr>
        <w:t>企业经营范围未变化</w:t>
      </w:r>
      <w:r>
        <w:rPr>
          <w:rFonts w:hint="eastAsia" w:ascii="宋体" w:hAnsi="宋体"/>
          <w:bCs/>
          <w:szCs w:val="21"/>
          <w:lang w:eastAsia="zh-CN"/>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firstLine="420" w:firstLineChars="200"/>
        <w:rPr>
          <w:rFonts w:hint="default"/>
          <w:bCs/>
          <w:szCs w:val="21"/>
          <w:lang w:val="en-US" w:eastAsia="zh-CN"/>
        </w:rPr>
      </w:pPr>
      <w:r>
        <w:rPr>
          <w:rFonts w:ascii="Times New Roman" w:hAnsi="Times New Roman" w:cs="Times New Roman"/>
          <w:bCs/>
          <w:kern w:val="0"/>
          <w:szCs w:val="21"/>
        </w:rPr>
        <w:t>（2）测量管理体系认证证书用于：</w:t>
      </w:r>
      <w:r>
        <w:rPr>
          <w:rFonts w:hint="eastAsia" w:ascii="宋体" w:hAnsi="宋体" w:cs="宋体"/>
          <w:bCs/>
          <w:kern w:val="0"/>
          <w:szCs w:val="21"/>
        </w:rPr>
        <w:t>企业用于标招投加分</w:t>
      </w:r>
      <w:r>
        <w:rPr>
          <w:rFonts w:hint="eastAsia" w:ascii="宋体" w:hAnsi="宋体" w:cs="宋体"/>
          <w:bCs/>
          <w:kern w:val="0"/>
          <w:szCs w:val="21"/>
          <w:lang w:eastAsia="zh-CN"/>
        </w:rPr>
        <w:t>等单位。</w:t>
      </w:r>
    </w:p>
    <w:p>
      <w:pPr>
        <w:widowControl/>
        <w:spacing w:line="360" w:lineRule="auto"/>
        <w:ind w:firstLine="630" w:firstLineChars="300"/>
        <w:rPr>
          <w:rFonts w:ascii="Times New Roman" w:hAnsi="Times New Roman" w:cs="Times New Roman"/>
          <w:bCs/>
          <w:kern w:val="0"/>
          <w:szCs w:val="21"/>
        </w:rPr>
      </w:pPr>
      <w:r>
        <w:rPr>
          <w:bCs/>
          <w:szCs w:val="21"/>
        </w:rPr>
        <w:t>客户二方审核及企业形象广告宣传。</w:t>
      </w:r>
    </w:p>
    <w:p>
      <w:pPr>
        <w:widowControl/>
        <w:spacing w:line="360" w:lineRule="auto"/>
        <w:ind w:firstLine="420" w:firstLineChars="200"/>
        <w:rPr>
          <w:rFonts w:hint="eastAsia" w:ascii="宋体" w:hAnsi="宋体" w:cs="宋体"/>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440" w:lineRule="exact"/>
        <w:jc w:val="left"/>
        <w:rPr>
          <w:rFonts w:hint="eastAsia" w:ascii="宋体" w:hAnsi="宋体" w:cs="宋体"/>
          <w:bCs/>
          <w:color w:val="auto"/>
          <w:kern w:val="0"/>
          <w:szCs w:val="21"/>
          <w:highlight w:val="none"/>
        </w:rPr>
      </w:pPr>
      <w:r>
        <w:rPr>
          <w:rFonts w:hint="eastAsia" w:ascii="宋体" w:hAnsi="宋体" w:cs="宋体"/>
          <w:kern w:val="0"/>
          <w:szCs w:val="21"/>
          <w:highlight w:val="none"/>
          <w:lang w:val="en-US" w:eastAsia="zh-CN"/>
        </w:rPr>
        <w:t>10.1</w:t>
      </w:r>
      <w:r>
        <w:rPr>
          <w:rFonts w:hint="eastAsia" w:ascii="宋体" w:hAnsi="宋体" w:eastAsia="宋体" w:cs="宋体"/>
          <w:color w:val="auto"/>
          <w:sz w:val="21"/>
          <w:szCs w:val="21"/>
          <w:highlight w:val="none"/>
        </w:rPr>
        <w:t>抽</w:t>
      </w:r>
      <w:r>
        <w:rPr>
          <w:rFonts w:hint="default" w:ascii="Times New Roman" w:hAnsi="Times New Roman" w:eastAsia="宋体" w:cs="Times New Roman"/>
          <w:bCs/>
          <w:color w:val="auto"/>
          <w:kern w:val="0"/>
          <w:sz w:val="21"/>
          <w:szCs w:val="21"/>
          <w:highlight w:val="none"/>
        </w:rPr>
        <w:t>查</w:t>
      </w:r>
      <w:r>
        <w:rPr>
          <w:rFonts w:hint="eastAsia" w:ascii="Times New Roman" w:hAnsi="Times New Roman" w:eastAsia="宋体" w:cs="Times New Roman"/>
          <w:bCs/>
          <w:color w:val="auto"/>
          <w:kern w:val="0"/>
          <w:sz w:val="21"/>
          <w:szCs w:val="21"/>
          <w:highlight w:val="none"/>
          <w:lang w:val="en-US" w:eastAsia="zh-CN"/>
        </w:rPr>
        <w:t>检定校准服务方的《合格供方调查、评价表》</w:t>
      </w:r>
      <w:r>
        <w:rPr>
          <w:rFonts w:hint="eastAsia" w:ascii="Times New Roman" w:hAnsi="Times New Roman" w:eastAsia="宋体" w:cs="Times New Roman"/>
          <w:bCs/>
          <w:color w:val="auto"/>
          <w:kern w:val="0"/>
          <w:sz w:val="21"/>
          <w:szCs w:val="21"/>
          <w:highlight w:val="none"/>
          <w:lang w:eastAsia="zh-CN"/>
        </w:rPr>
        <w:t>，</w:t>
      </w:r>
      <w:r>
        <w:rPr>
          <w:rFonts w:hint="eastAsia" w:ascii="Times New Roman" w:hAnsi="Times New Roman" w:eastAsia="宋体" w:cs="Times New Roman"/>
          <w:bCs/>
          <w:color w:val="auto"/>
          <w:kern w:val="0"/>
          <w:sz w:val="21"/>
          <w:szCs w:val="21"/>
          <w:highlight w:val="none"/>
          <w:lang w:val="en-US" w:eastAsia="zh-CN"/>
        </w:rPr>
        <w:t>对合格服务方“</w:t>
      </w:r>
      <w:r>
        <w:rPr>
          <w:rFonts w:hint="eastAsia" w:ascii="宋体" w:hAnsi="宋体" w:eastAsia="宋体" w:cs="宋体"/>
          <w:sz w:val="21"/>
          <w:szCs w:val="21"/>
          <w:lang w:eastAsia="zh-CN"/>
        </w:rPr>
        <w:t>东莞市帝恩检测有限公司</w:t>
      </w:r>
      <w:r>
        <w:rPr>
          <w:rFonts w:hint="eastAsia" w:ascii="宋体" w:hAnsi="宋体" w:cs="宋体"/>
          <w:i w:val="0"/>
          <w:iCs w:val="0"/>
          <w:color w:val="auto"/>
          <w:sz w:val="21"/>
          <w:szCs w:val="21"/>
          <w:highlight w:val="none"/>
          <w:lang w:val="en-US" w:eastAsia="zh-CN"/>
        </w:rPr>
        <w:t>”未能</w:t>
      </w:r>
      <w:r>
        <w:rPr>
          <w:rFonts w:hint="eastAsia" w:ascii="Times New Roman" w:hAnsi="Times New Roman" w:eastAsia="宋体" w:cs="Times New Roman"/>
          <w:bCs/>
          <w:color w:val="auto"/>
          <w:kern w:val="0"/>
          <w:sz w:val="21"/>
          <w:szCs w:val="21"/>
          <w:highlight w:val="none"/>
          <w:lang w:val="en-US" w:eastAsia="zh-CN"/>
        </w:rPr>
        <w:t>提供的服务质量评审的记录。</w:t>
      </w:r>
      <w:r>
        <w:rPr>
          <w:rFonts w:hint="eastAsia" w:ascii="宋体" w:hAnsi="宋体"/>
          <w:szCs w:val="21"/>
          <w:highlight w:val="none"/>
        </w:rPr>
        <w:t>不满足标准GB/T 19022-2003</w:t>
      </w:r>
      <w:r>
        <w:rPr>
          <w:rFonts w:hint="eastAsia" w:ascii="宋体" w:hAnsi="宋体"/>
          <w:szCs w:val="21"/>
          <w:highlight w:val="none"/>
          <w:lang w:eastAsia="zh-CN"/>
        </w:rPr>
        <w:t>标准</w:t>
      </w:r>
      <w:r>
        <w:rPr>
          <w:rFonts w:hint="eastAsia" w:ascii="宋体" w:hAnsi="宋体"/>
          <w:szCs w:val="21"/>
          <w:highlight w:val="none"/>
          <w:lang w:val="en-US" w:eastAsia="zh-CN"/>
        </w:rPr>
        <w:t>6.4条款</w:t>
      </w:r>
      <w:r>
        <w:rPr>
          <w:rFonts w:hint="default" w:ascii="Times New Roman" w:hAnsi="Times New Roman" w:eastAsia="宋体" w:cs="Times New Roman"/>
          <w:color w:val="auto"/>
          <w:sz w:val="21"/>
          <w:szCs w:val="21"/>
          <w:highlight w:val="none"/>
          <w:u w:val="none"/>
        </w:rPr>
        <w:t>外部供方</w:t>
      </w:r>
      <w:r>
        <w:rPr>
          <w:rFonts w:hint="eastAsia" w:ascii="宋体" w:hAnsi="宋体"/>
          <w:szCs w:val="21"/>
          <w:highlight w:val="none"/>
          <w:lang w:eastAsia="zh-CN"/>
        </w:rPr>
        <w:t>的规定</w:t>
      </w:r>
      <w:r>
        <w:rPr>
          <w:rFonts w:hint="eastAsia" w:ascii="宋体" w:hAnsi="宋体"/>
          <w:szCs w:val="21"/>
          <w:highlight w:val="none"/>
        </w:rPr>
        <w:t>要求。</w:t>
      </w:r>
      <w:r>
        <w:rPr>
          <w:rFonts w:hint="eastAsia" w:ascii="宋体" w:hAnsi="宋体" w:cs="宋体"/>
          <w:bCs/>
          <w:color w:val="auto"/>
          <w:kern w:val="0"/>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、水，天然气、</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2021年1月至12月，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550.31</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四</w:t>
      </w:r>
      <w:r>
        <w:rPr>
          <w:rFonts w:hint="eastAsia"/>
          <w:b w:val="0"/>
          <w:bCs/>
          <w:szCs w:val="21"/>
          <w:highlight w:val="none"/>
        </w:rPr>
        <w:t>线电能表</w:t>
      </w:r>
      <w:r>
        <w:rPr>
          <w:rFonts w:hint="eastAsia"/>
          <w:b w:val="0"/>
          <w:bCs/>
          <w:szCs w:val="21"/>
          <w:highlight w:val="none"/>
          <w:lang w:val="en-US" w:eastAsia="zh-CN"/>
        </w:rPr>
        <w:t>1块，</w:t>
      </w:r>
      <w:r>
        <w:rPr>
          <w:rFonts w:hint="eastAsia" w:ascii="宋体" w:hAnsi="宋体"/>
          <w:b w:val="0"/>
          <w:bCs/>
          <w:szCs w:val="21"/>
          <w:highlight w:val="none"/>
          <w:lang w:val="en-US" w:eastAsia="zh-CN"/>
        </w:rPr>
        <w:t>2.5</w:t>
      </w:r>
      <w:r>
        <w:rPr>
          <w:rFonts w:hint="eastAsia"/>
          <w:b w:val="0"/>
          <w:bCs/>
          <w:szCs w:val="21"/>
          <w:highlight w:val="none"/>
        </w:rPr>
        <w:t>级</w:t>
      </w:r>
      <w:r>
        <w:rPr>
          <w:rFonts w:hint="eastAsia"/>
          <w:b w:val="0"/>
          <w:bCs/>
          <w:szCs w:val="21"/>
          <w:highlight w:val="none"/>
          <w:lang w:eastAsia="zh-CN"/>
        </w:rPr>
        <w:t>水表</w:t>
      </w:r>
      <w:r>
        <w:rPr>
          <w:rFonts w:hint="eastAsia"/>
          <w:b w:val="0"/>
          <w:bCs/>
          <w:szCs w:val="21"/>
          <w:highlight w:val="none"/>
          <w:lang w:val="en-US" w:eastAsia="zh-CN"/>
        </w:rPr>
        <w:t>1块。1.0</w:t>
      </w:r>
      <w:r>
        <w:rPr>
          <w:rFonts w:hint="eastAsia"/>
          <w:b w:val="0"/>
          <w:bCs/>
          <w:szCs w:val="21"/>
          <w:highlight w:val="none"/>
        </w:rPr>
        <w:t>级</w:t>
      </w:r>
      <w:r>
        <w:rPr>
          <w:rFonts w:hint="eastAsia" w:ascii="Times New Roman" w:hAnsi="Times New Roman" w:cs="Times New Roman"/>
          <w:bCs/>
          <w:kern w:val="0"/>
          <w:szCs w:val="21"/>
          <w:lang w:eastAsia="zh-CN"/>
        </w:rPr>
        <w:t>涡轮流量计</w:t>
      </w:r>
      <w:r>
        <w:rPr>
          <w:rFonts w:ascii="Times New Roman" w:hAnsi="Times New Roman" w:cs="Times New Roman"/>
          <w:bCs/>
          <w:kern w:val="0"/>
          <w:szCs w:val="21"/>
        </w:rPr>
        <w:t>1块</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highlight w:val="none"/>
        </w:rPr>
      </w:pPr>
      <w:r>
        <w:rPr>
          <w:rFonts w:hint="eastAsia" w:ascii="宋体" w:hAnsi="宋体" w:cs="宋体"/>
          <w:b/>
          <w:bCs/>
          <w:kern w:val="0"/>
          <w:szCs w:val="21"/>
          <w:highlight w:val="none"/>
        </w:rPr>
        <w:t>二、监督审核结论意见</w:t>
      </w:r>
      <w:r>
        <w:rPr>
          <w:rFonts w:ascii="宋体" w:hAnsi="宋体" w:cs="宋体"/>
          <w:b/>
          <w:bCs/>
          <w:kern w:val="0"/>
          <w:szCs w:val="21"/>
          <w:highlight w:val="none"/>
        </w:rPr>
        <w:t>(</w:t>
      </w:r>
      <w:r>
        <w:rPr>
          <w:rFonts w:hint="eastAsia" w:ascii="宋体" w:hAnsi="宋体" w:cs="宋体"/>
          <w:b/>
          <w:bCs/>
          <w:kern w:val="0"/>
          <w:szCs w:val="21"/>
          <w:highlight w:val="none"/>
        </w:rPr>
        <w:t>含需要说明的事项</w:t>
      </w:r>
      <w:r>
        <w:rPr>
          <w:rFonts w:ascii="宋体" w:hAnsi="宋体" w:cs="宋体"/>
          <w:b/>
          <w:bCs/>
          <w:kern w:val="0"/>
          <w:szCs w:val="21"/>
          <w:highlight w:val="none"/>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22</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03</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28日上午-3月29日上午</w:t>
      </w:r>
      <w:r>
        <w:rPr>
          <w:rFonts w:hint="eastAsia" w:ascii="宋体" w:hAnsi="宋体" w:cs="宋体"/>
          <w:bCs/>
          <w:color w:val="auto"/>
          <w:kern w:val="0"/>
          <w:szCs w:val="21"/>
        </w:rPr>
        <w:t>，对</w:t>
      </w:r>
      <w:r>
        <w:rPr>
          <w:rFonts w:hint="eastAsia" w:ascii="宋体" w:hAnsi="宋体"/>
          <w:color w:val="auto"/>
          <w:szCs w:val="21"/>
          <w:lang w:eastAsia="zh-CN"/>
        </w:rPr>
        <w:t>四川英才教学设备有限公司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体系远程</w:t>
      </w:r>
      <w:r>
        <w:rPr>
          <w:rFonts w:hint="eastAsia" w:ascii="宋体" w:hAnsi="宋体" w:cs="宋体"/>
          <w:bCs/>
          <w:color w:val="auto"/>
          <w:kern w:val="0"/>
          <w:szCs w:val="21"/>
        </w:rPr>
        <w:t>监督审核，验证了公司在测量管理体系</w:t>
      </w:r>
      <w:r>
        <w:rPr>
          <w:rFonts w:hint="eastAsia" w:ascii="宋体" w:hAnsi="宋体" w:cs="宋体"/>
          <w:bCs/>
          <w:color w:val="auto"/>
          <w:kern w:val="0"/>
          <w:szCs w:val="21"/>
          <w:lang w:eastAsia="zh-CN"/>
        </w:rPr>
        <w:t>认证后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四川英才教学设备有限公司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spacing w:line="360" w:lineRule="auto"/>
        <w:rPr>
          <w:rFonts w:hint="eastAsia" w:ascii="Times New Roman" w:hAnsi="Times New Roman" w:cs="Times New Roman" w:eastAsiaTheme="minorEastAsia"/>
          <w:bCs/>
          <w:kern w:val="0"/>
          <w:szCs w:val="21"/>
          <w:lang w:val="en-US" w:eastAsia="zh-CN"/>
        </w:rPr>
      </w:pPr>
      <w:r>
        <w:rPr>
          <w:rFonts w:hint="eastAsia" w:ascii="Times New Roman" w:hAnsi="Times New Roman" w:cs="Times New Roman"/>
          <w:bCs/>
          <w:kern w:val="0"/>
          <w:szCs w:val="21"/>
          <w:lang w:val="en-US" w:eastAsia="zh-CN"/>
        </w:rPr>
        <w:t>1、建议企业内审员参加培训、满足测量体系</w:t>
      </w:r>
      <w:r>
        <w:rPr>
          <w:rFonts w:hint="eastAsia" w:ascii="Times New Roman" w:hAnsi="Times New Roman" w:cs="Times New Roman"/>
          <w:bCs/>
          <w:kern w:val="0"/>
          <w:szCs w:val="21"/>
          <w:lang w:eastAsia="zh-CN"/>
        </w:rPr>
        <w:t>认证工作的需求</w:t>
      </w:r>
    </w:p>
    <w:p>
      <w:pPr>
        <w:widowControl/>
        <w:numPr>
          <w:ilvl w:val="0"/>
          <w:numId w:val="0"/>
        </w:numPr>
        <w:spacing w:line="360" w:lineRule="auto"/>
        <w:rPr>
          <w:rFonts w:ascii="Times New Roman" w:hAnsi="Times New Roman" w:cs="Times New Roman"/>
          <w:bCs/>
          <w:kern w:val="0"/>
          <w:szCs w:val="21"/>
        </w:rPr>
      </w:pPr>
      <w:r>
        <w:rPr>
          <w:rFonts w:hint="eastAsia" w:ascii="Times New Roman" w:hAnsi="Times New Roman" w:cs="Times New Roman"/>
          <w:bCs/>
          <w:kern w:val="0"/>
          <w:szCs w:val="21"/>
          <w:lang w:val="en-US" w:eastAsia="zh-CN"/>
        </w:rPr>
        <w:t>2、</w:t>
      </w: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numPr>
          <w:ilvl w:val="0"/>
          <w:numId w:val="0"/>
        </w:numPr>
        <w:spacing w:line="360" w:lineRule="auto"/>
        <w:ind w:firstLine="420" w:firstLineChars="200"/>
        <w:rPr>
          <w:rFonts w:ascii="Times New Roman" w:hAnsi="Times New Roman" w:cs="Times New Roman"/>
          <w:bCs/>
          <w:kern w:val="0"/>
          <w:szCs w:val="21"/>
        </w:rPr>
      </w:pP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534035" cy="283845"/>
            <wp:effectExtent l="0" t="0" r="18415" b="190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34035" cy="283845"/>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2022.03.29</w:t>
      </w:r>
    </w:p>
    <w:p>
      <w:pPr>
        <w:widowControl/>
        <w:spacing w:line="360" w:lineRule="auto"/>
        <w:rPr>
          <w:rFonts w:hint="eastAsia" w:ascii="宋体" w:hAnsi="宋体" w:cs="宋体"/>
          <w:b/>
          <w:bCs/>
          <w:kern w:val="0"/>
          <w:szCs w:val="21"/>
        </w:rPr>
      </w:pPr>
    </w:p>
    <w:p>
      <w:pPr>
        <w:widowControl/>
        <w:spacing w:line="360" w:lineRule="auto"/>
        <w:rPr>
          <w:rFonts w:hint="eastAsia" w:ascii="宋体" w:hAnsi="宋体" w:cs="宋体"/>
          <w:b/>
          <w:bCs/>
          <w:kern w:val="0"/>
          <w:szCs w:val="21"/>
        </w:rPr>
      </w:pPr>
    </w:p>
    <w:p>
      <w:pPr>
        <w:widowControl/>
        <w:spacing w:line="360" w:lineRule="auto"/>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hAnsi="宋体" w:eastAsia="宋体" w:cs="宋体"/>
          <w:kern w:val="0"/>
          <w:szCs w:val="28"/>
        </w:rPr>
      </w:pPr>
      <w:r>
        <w:rPr>
          <w:rFonts w:ascii="宋体" w:hAnsi="宋体" w:cs="宋体"/>
          <w:b/>
          <w:bCs/>
          <w:kern w:val="0"/>
          <w:szCs w:val="21"/>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62336" behindDoc="0" locked="0" layoutInCell="1" allowOverlap="1">
          <wp:simplePos x="0" y="0"/>
          <wp:positionH relativeFrom="column">
            <wp:posOffset>-436245</wp:posOffset>
          </wp:positionH>
          <wp:positionV relativeFrom="paragraph">
            <wp:posOffset>90170</wp:posOffset>
          </wp:positionV>
          <wp:extent cx="481965" cy="485140"/>
          <wp:effectExtent l="0" t="0" r="13335" b="1016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60288;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1312;mso-width-relative:page;mso-height-relative:page;" coordsize="21600,21600">
          <v:path arrowok="t"/>
          <v:fill focussize="0,0"/>
          <v:stroke/>
          <v:imagedata o:title=""/>
          <o:lock v:ext="edit"/>
        </v:line>
      </w:pict>
    </w:r>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947B5"/>
    <w:rsid w:val="00D62FE0"/>
    <w:rsid w:val="00DB47DA"/>
    <w:rsid w:val="011662FE"/>
    <w:rsid w:val="015B300B"/>
    <w:rsid w:val="019126B1"/>
    <w:rsid w:val="03B215BD"/>
    <w:rsid w:val="03E563DD"/>
    <w:rsid w:val="049D6929"/>
    <w:rsid w:val="05FD5174"/>
    <w:rsid w:val="07A22038"/>
    <w:rsid w:val="07F6331D"/>
    <w:rsid w:val="081433FF"/>
    <w:rsid w:val="0866484A"/>
    <w:rsid w:val="08AF38B7"/>
    <w:rsid w:val="08C9577B"/>
    <w:rsid w:val="09851FB9"/>
    <w:rsid w:val="0AE44215"/>
    <w:rsid w:val="0CC1767E"/>
    <w:rsid w:val="0DE1402D"/>
    <w:rsid w:val="0E594764"/>
    <w:rsid w:val="0E5F6936"/>
    <w:rsid w:val="1051458B"/>
    <w:rsid w:val="10FC7F7C"/>
    <w:rsid w:val="11261FFC"/>
    <w:rsid w:val="12730AAA"/>
    <w:rsid w:val="145913C3"/>
    <w:rsid w:val="16010527"/>
    <w:rsid w:val="17D03874"/>
    <w:rsid w:val="18314892"/>
    <w:rsid w:val="18895737"/>
    <w:rsid w:val="1ACA15A5"/>
    <w:rsid w:val="1B701893"/>
    <w:rsid w:val="1D644926"/>
    <w:rsid w:val="1E0679E2"/>
    <w:rsid w:val="1E507DB8"/>
    <w:rsid w:val="1F30615A"/>
    <w:rsid w:val="1F8B7A86"/>
    <w:rsid w:val="1FB73513"/>
    <w:rsid w:val="20245D89"/>
    <w:rsid w:val="21C517C9"/>
    <w:rsid w:val="2253747B"/>
    <w:rsid w:val="228F589D"/>
    <w:rsid w:val="238D590A"/>
    <w:rsid w:val="23A02834"/>
    <w:rsid w:val="23E3439E"/>
    <w:rsid w:val="259C7022"/>
    <w:rsid w:val="25FE255B"/>
    <w:rsid w:val="260F3D59"/>
    <w:rsid w:val="26AA361A"/>
    <w:rsid w:val="27816C16"/>
    <w:rsid w:val="27954974"/>
    <w:rsid w:val="299E6A98"/>
    <w:rsid w:val="2A096538"/>
    <w:rsid w:val="2B030917"/>
    <w:rsid w:val="2C4F0E75"/>
    <w:rsid w:val="2DB3298D"/>
    <w:rsid w:val="2E0B23F6"/>
    <w:rsid w:val="2E42048A"/>
    <w:rsid w:val="2E9535C2"/>
    <w:rsid w:val="2F3769D8"/>
    <w:rsid w:val="2F98679A"/>
    <w:rsid w:val="2FD947E2"/>
    <w:rsid w:val="30702F46"/>
    <w:rsid w:val="313D2294"/>
    <w:rsid w:val="31647056"/>
    <w:rsid w:val="321A44F5"/>
    <w:rsid w:val="322C5776"/>
    <w:rsid w:val="328D7A02"/>
    <w:rsid w:val="32A1519D"/>
    <w:rsid w:val="33E861D3"/>
    <w:rsid w:val="356A4FB1"/>
    <w:rsid w:val="363F5E2D"/>
    <w:rsid w:val="36BD22BD"/>
    <w:rsid w:val="38086043"/>
    <w:rsid w:val="382A5B08"/>
    <w:rsid w:val="3868400B"/>
    <w:rsid w:val="38880CD0"/>
    <w:rsid w:val="39571FC5"/>
    <w:rsid w:val="39EA584B"/>
    <w:rsid w:val="3AA660B4"/>
    <w:rsid w:val="3B061D57"/>
    <w:rsid w:val="3BAF7989"/>
    <w:rsid w:val="3F903830"/>
    <w:rsid w:val="408706D3"/>
    <w:rsid w:val="40A07680"/>
    <w:rsid w:val="410648F3"/>
    <w:rsid w:val="44C42B5F"/>
    <w:rsid w:val="46184AD1"/>
    <w:rsid w:val="46771B56"/>
    <w:rsid w:val="47A4153F"/>
    <w:rsid w:val="49F92A91"/>
    <w:rsid w:val="4A126716"/>
    <w:rsid w:val="4ABD7835"/>
    <w:rsid w:val="4BD16FB0"/>
    <w:rsid w:val="4EC027DE"/>
    <w:rsid w:val="4F822A24"/>
    <w:rsid w:val="505F1232"/>
    <w:rsid w:val="50FA73B2"/>
    <w:rsid w:val="5133471D"/>
    <w:rsid w:val="52977792"/>
    <w:rsid w:val="52D06ACC"/>
    <w:rsid w:val="533D0BB1"/>
    <w:rsid w:val="53E204EF"/>
    <w:rsid w:val="53FD699A"/>
    <w:rsid w:val="548C10AE"/>
    <w:rsid w:val="553819D4"/>
    <w:rsid w:val="55846126"/>
    <w:rsid w:val="56A52AE7"/>
    <w:rsid w:val="56AF49FF"/>
    <w:rsid w:val="57961E25"/>
    <w:rsid w:val="57EE0A87"/>
    <w:rsid w:val="583773EE"/>
    <w:rsid w:val="589A1673"/>
    <w:rsid w:val="58FA7A57"/>
    <w:rsid w:val="5ACA30F8"/>
    <w:rsid w:val="5AD7341B"/>
    <w:rsid w:val="5B4471AA"/>
    <w:rsid w:val="5B625EC1"/>
    <w:rsid w:val="5BED2E50"/>
    <w:rsid w:val="5CC34A42"/>
    <w:rsid w:val="5D6E5D7B"/>
    <w:rsid w:val="5D8B40D4"/>
    <w:rsid w:val="5E541A14"/>
    <w:rsid w:val="5E862DF5"/>
    <w:rsid w:val="5FEB3DF1"/>
    <w:rsid w:val="60A1694D"/>
    <w:rsid w:val="60AB0032"/>
    <w:rsid w:val="60EE17B6"/>
    <w:rsid w:val="60FF6850"/>
    <w:rsid w:val="612E2E61"/>
    <w:rsid w:val="61880FEB"/>
    <w:rsid w:val="618D05CE"/>
    <w:rsid w:val="63063EF5"/>
    <w:rsid w:val="63243021"/>
    <w:rsid w:val="63244996"/>
    <w:rsid w:val="63F9408B"/>
    <w:rsid w:val="64815E69"/>
    <w:rsid w:val="64882719"/>
    <w:rsid w:val="64AC5B6B"/>
    <w:rsid w:val="653A413B"/>
    <w:rsid w:val="65B354C1"/>
    <w:rsid w:val="66B707C5"/>
    <w:rsid w:val="66C76995"/>
    <w:rsid w:val="66DA4EE7"/>
    <w:rsid w:val="678058D7"/>
    <w:rsid w:val="69443018"/>
    <w:rsid w:val="695375A4"/>
    <w:rsid w:val="69DD4616"/>
    <w:rsid w:val="69F44D4E"/>
    <w:rsid w:val="6A756F3B"/>
    <w:rsid w:val="6ADD3A80"/>
    <w:rsid w:val="6AE22855"/>
    <w:rsid w:val="6BC61023"/>
    <w:rsid w:val="6DB43658"/>
    <w:rsid w:val="6E4A2C41"/>
    <w:rsid w:val="6EB9032B"/>
    <w:rsid w:val="6F03617D"/>
    <w:rsid w:val="6F843906"/>
    <w:rsid w:val="6FCB3BEE"/>
    <w:rsid w:val="70F168D6"/>
    <w:rsid w:val="711225B3"/>
    <w:rsid w:val="716D6BC3"/>
    <w:rsid w:val="71A75E13"/>
    <w:rsid w:val="72ED6648"/>
    <w:rsid w:val="72FF0D20"/>
    <w:rsid w:val="745D3A76"/>
    <w:rsid w:val="756C46F1"/>
    <w:rsid w:val="75C30245"/>
    <w:rsid w:val="778E4681"/>
    <w:rsid w:val="788D15C7"/>
    <w:rsid w:val="79880B95"/>
    <w:rsid w:val="7BC7517F"/>
    <w:rsid w:val="7BE74319"/>
    <w:rsid w:val="7E0A279A"/>
    <w:rsid w:val="7F383F79"/>
    <w:rsid w:val="7F485A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153</TotalTime>
  <ScaleCrop>false</ScaleCrop>
  <LinksUpToDate>false</LinksUpToDate>
  <CharactersWithSpaces>2163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2022-03-30T02:59:18Z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26855577654D4779AED556AE7C30A6C9</vt:lpwstr>
  </property>
</Properties>
</file>