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0175-2022-QEO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陕西亚强电气设备有限公司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陕西亚强电气设备有限公司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陕西省西安市沣东新城建章路街道工业园焦家村西</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陕西省西安市莲湖区桃园街道大土门社区世和小区A1903室</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苏建荣</w:t>
            </w:r>
            <w:bookmarkEnd w:id="10"/>
          </w:p>
        </w:tc>
        <w:tc>
          <w:tcPr>
            <w:tcW w:w="1313" w:type="dxa"/>
            <w:vAlign w:val="center"/>
          </w:tcPr>
          <w:p>
            <w:r>
              <w:rPr>
                <w:rFonts w:hint="eastAsia"/>
              </w:rPr>
              <w:t>电话.</w:t>
            </w:r>
          </w:p>
        </w:tc>
        <w:tc>
          <w:tcPr>
            <w:tcW w:w="2180" w:type="dxa"/>
            <w:vAlign w:val="center"/>
          </w:tcPr>
          <w:p>
            <w:bookmarkStart w:id="11" w:name="联系人电话"/>
            <w:r>
              <w:t>15002948758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姬大庆</w:t>
            </w:r>
            <w:bookmarkEnd w:id="13"/>
          </w:p>
        </w:tc>
        <w:tc>
          <w:tcPr>
            <w:tcW w:w="1313" w:type="dxa"/>
            <w:vAlign w:val="center"/>
          </w:tcPr>
          <w:p>
            <w:r>
              <w:rPr>
                <w:rFonts w:hint="eastAsia"/>
              </w:rPr>
              <w:t>管理者代表</w:t>
            </w:r>
          </w:p>
        </w:tc>
        <w:tc>
          <w:tcPr>
            <w:tcW w:w="2180" w:type="dxa"/>
          </w:tcPr>
          <w:p>
            <w:bookmarkStart w:id="14" w:name="管理者代表"/>
            <w:r>
              <w:t>苏建荣</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宋体"/>
                <w:b/>
                <w:bCs/>
                <w:sz w:val="24"/>
                <w:szCs w:val="24"/>
                <w:lang w:val="en-US" w:eastAsia="zh-CN"/>
              </w:rPr>
              <w:t>技术人员参加入网考核-合格后获得进站资格（工作证）-由队长统一安排进入变电站（严格遵守变电站安全规程）-准备前期工作（接地线、确认设备状态）-连接绝缘室与净化车-开机实施回收、提纯、净化-存储净化后气体（等待甲方保养绝缘室）-六氟化硫打入绝缘室-第三方检测-交付甲方</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2022年03月16日 上午至2022年03月18日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A3"/>
            </w:r>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陕西省西安市莲湖区桃园街道大土门社区世和小区A1903室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Q：六氟化硫净化服务</w:t>
            </w:r>
          </w:p>
          <w:p>
            <w:r>
              <w:t>E：六氟化硫净化服务所涉及场所的相关环境管理活动</w:t>
            </w:r>
          </w:p>
          <w:p>
            <w:r>
              <w:t>O：六氟化硫净化服务所涉及场所的相关职业健康安全管理活动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Q：39.04.00</w:t>
            </w:r>
          </w:p>
          <w:p>
            <w:r>
              <w:t>E：39.04.00</w:t>
            </w:r>
          </w:p>
          <w:p>
            <w:r>
              <w:t>O：39.04.00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陕西亚强电气设备有限公司</w:t>
            </w:r>
            <w:r>
              <w:rPr>
                <w:rFonts w:hint="eastAsia"/>
                <w:sz w:val="21"/>
                <w:szCs w:val="21"/>
                <w:lang w:val="en-US" w:eastAsia="zh-CN"/>
              </w:rPr>
              <w:t>/</w:t>
            </w:r>
            <w:r>
              <w:rPr>
                <w:rFonts w:asciiTheme="minorEastAsia" w:hAnsiTheme="minorEastAsia" w:eastAsiaTheme="minorEastAsia"/>
                <w:sz w:val="20"/>
              </w:rPr>
              <w:t>陕西省西安市沣东新城建章路街道工业园焦家村西</w:t>
            </w:r>
          </w:p>
        </w:tc>
        <w:tc>
          <w:tcPr>
            <w:tcW w:w="2267" w:type="dxa"/>
          </w:tcPr>
          <w:p>
            <w:pPr>
              <w:rPr>
                <w:color w:val="000000"/>
                <w:szCs w:val="21"/>
                <w:u w:val="single"/>
              </w:rPr>
            </w:pPr>
            <w:r>
              <w:rPr>
                <w:rFonts w:asciiTheme="minorEastAsia" w:hAnsiTheme="minorEastAsia" w:eastAsiaTheme="minorEastAsia"/>
                <w:sz w:val="20"/>
              </w:rPr>
              <w:t>陕西省西安市莲湖区桃园街道大土门社区世和小区A1903室</w:t>
            </w:r>
            <w:r>
              <w:rPr>
                <w:rFonts w:hint="eastAsia" w:asciiTheme="minorEastAsia" w:hAnsiTheme="minorEastAsia" w:eastAsiaTheme="minorEastAsia"/>
                <w:sz w:val="20"/>
                <w:lang w:eastAsia="zh-CN"/>
              </w:rPr>
              <w:t>、</w:t>
            </w:r>
            <w:r>
              <w:rPr>
                <w:rFonts w:hint="eastAsia"/>
                <w:color w:val="404040"/>
                <w:sz w:val="24"/>
                <w:lang w:val="en-US" w:eastAsia="zh-CN"/>
              </w:rPr>
              <w:t>西安市未央区朱宏路</w:t>
            </w:r>
          </w:p>
          <w:p>
            <w:pPr>
              <w:rPr>
                <w:rFonts w:hint="eastAsia" w:eastAsiaTheme="minorEastAsia"/>
                <w:lang w:val="de-DE" w:eastAsia="zh-CN"/>
              </w:rPr>
            </w:pP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sz w:val="20"/>
              </w:rPr>
            </w:pPr>
            <w:r>
              <w:rPr>
                <w:sz w:val="20"/>
              </w:rPr>
              <w:t>Q：六氟化硫净化服务</w:t>
            </w:r>
          </w:p>
          <w:p>
            <w:pPr>
              <w:rPr>
                <w:sz w:val="20"/>
              </w:rPr>
            </w:pPr>
            <w:r>
              <w:rPr>
                <w:sz w:val="20"/>
              </w:rPr>
              <w:t>E：六氟化硫净化服务所涉及场所的相关环境管理活动</w:t>
            </w:r>
          </w:p>
          <w:p>
            <w:pPr>
              <w:rPr>
                <w:lang w:eastAsia="ja-JP"/>
              </w:rPr>
            </w:pPr>
            <w:r>
              <w:rPr>
                <w:sz w:val="20"/>
              </w:rPr>
              <w:t>O：六氟化硫净化服务所涉及场所的相关职业健康安全管理活动</w:t>
            </w:r>
          </w:p>
        </w:tc>
        <w:tc>
          <w:tcPr>
            <w:tcW w:w="669" w:type="dxa"/>
            <w:vAlign w:val="center"/>
          </w:tcPr>
          <w:p>
            <w:pPr>
              <w:jc w:val="left"/>
              <w:rPr>
                <w:rFonts w:hint="eastAsia" w:ascii="宋体" w:hAnsi="宋体" w:eastAsia="宋体"/>
                <w:b/>
                <w:sz w:val="21"/>
                <w:szCs w:val="21"/>
                <w:lang w:val="en-US" w:eastAsia="zh-CN"/>
              </w:rPr>
            </w:pPr>
            <w:r>
              <w:rPr>
                <w:rFonts w:hint="eastAsia" w:ascii="宋体" w:hAnsi="宋体"/>
                <w:b/>
                <w:sz w:val="21"/>
                <w:szCs w:val="21"/>
              </w:rPr>
              <w:t>■GB/T19001-2016 ■GB/T24001</w:t>
            </w:r>
            <w:r>
              <w:rPr>
                <w:rFonts w:hint="eastAsia" w:ascii="宋体" w:hAnsi="宋体"/>
                <w:b/>
                <w:sz w:val="21"/>
                <w:szCs w:val="21"/>
                <w:lang w:val="en-US" w:eastAsia="zh-CN"/>
              </w:rPr>
              <w:t>-</w:t>
            </w:r>
            <w:r>
              <w:rPr>
                <w:rFonts w:hint="eastAsia" w:ascii="宋体" w:hAnsi="宋体"/>
                <w:b/>
                <w:sz w:val="21"/>
                <w:szCs w:val="21"/>
              </w:rPr>
              <w:t>2016</w:t>
            </w:r>
          </w:p>
          <w:p>
            <w:pPr>
              <w:rPr>
                <w:lang w:eastAsia="ja-JP"/>
              </w:rPr>
            </w:pPr>
            <w:r>
              <w:rPr>
                <w:rFonts w:hint="eastAsia" w:ascii="宋体" w:hAnsi="宋体"/>
                <w:b/>
                <w:sz w:val="21"/>
                <w:szCs w:val="21"/>
              </w:rPr>
              <w:t>■GB/T45001-2020</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李博</w:t>
            </w:r>
          </w:p>
        </w:tc>
        <w:tc>
          <w:tcPr>
            <w:tcW w:w="1089" w:type="dxa"/>
            <w:vAlign w:val="center"/>
          </w:tcPr>
          <w:p>
            <w:r>
              <w:t>组员</w:t>
            </w:r>
          </w:p>
        </w:tc>
        <w:tc>
          <w:tcPr>
            <w:tcW w:w="711" w:type="dxa"/>
            <w:vAlign w:val="center"/>
          </w:tcPr>
          <w:p>
            <w:r>
              <w:t>男</w:t>
            </w:r>
          </w:p>
        </w:tc>
        <w:tc>
          <w:tcPr>
            <w:tcW w:w="3870" w:type="dxa"/>
            <w:vAlign w:val="center"/>
          </w:tcPr>
          <w:p>
            <w:r>
              <w:t>ISC-JSZJ-506</w:t>
            </w:r>
          </w:p>
          <w:p>
            <w:r>
              <w:t>ISC-JSZJ-506</w:t>
            </w:r>
          </w:p>
          <w:p>
            <w:r>
              <w:t>ISC-JSZJ-506</w:t>
            </w:r>
          </w:p>
          <w:p>
            <w:r>
              <w:t>国网陕西省电力公司电力科学研究院</w:t>
            </w:r>
          </w:p>
        </w:tc>
        <w:tc>
          <w:tcPr>
            <w:tcW w:w="2179" w:type="dxa"/>
            <w:vAlign w:val="center"/>
          </w:tcPr>
          <w:p>
            <w:r>
              <w:t>Q:39.04.00</w:t>
            </w:r>
          </w:p>
          <w:p>
            <w:r>
              <w:t>E:39.04.00</w:t>
            </w:r>
          </w:p>
          <w:p>
            <w:r>
              <w:t>O:39.04.00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李博</w:t>
            </w:r>
          </w:p>
        </w:tc>
        <w:tc>
          <w:tcPr>
            <w:tcW w:w="1089" w:type="dxa"/>
            <w:vAlign w:val="center"/>
          </w:tcPr>
          <w:p>
            <w:pPr>
              <w:rPr>
                <w:rFonts w:hint="default" w:eastAsia="宋体"/>
                <w:lang w:val="en-US" w:eastAsia="zh-CN"/>
              </w:rPr>
            </w:pPr>
            <w:r>
              <w:rPr>
                <w:rFonts w:hint="eastAsia"/>
                <w:lang w:val="en-US" w:eastAsia="zh-CN"/>
              </w:rPr>
              <w:t>技术专家</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r>
              <w:t>国网陕西省电力公司电力科学研究院</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rFonts w:hint="eastAsia"/>
        </w:rPr>
      </w:pPr>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FF0000"/>
              </w:rPr>
            </w:pPr>
            <w:r>
              <w:rPr>
                <w:rFonts w:hint="eastAsia"/>
                <w:color w:val="FF0000"/>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FF0000"/>
              </w:rPr>
            </w:pPr>
            <w:r>
              <w:rPr>
                <w:rFonts w:hint="eastAsia"/>
                <w:color w:val="FF0000"/>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FF0000"/>
              </w:rPr>
            </w:pPr>
            <w:r>
              <w:rPr>
                <w:rFonts w:hint="eastAsia"/>
                <w:color w:val="FF0000"/>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FF0000"/>
              </w:rPr>
            </w:pPr>
            <w:r>
              <w:rPr>
                <w:rFonts w:hint="eastAsia"/>
                <w:color w:val="FF0000"/>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ind w:firstLine="3373" w:firstLineChars="1600"/>
              <w:rPr>
                <w:b/>
                <w:bCs/>
              </w:rPr>
            </w:pPr>
            <w:r>
              <w:rPr>
                <w:rFonts w:hint="eastAsia"/>
                <w:b/>
                <w:bCs/>
              </w:rPr>
              <w:t>质量精益求精，        服务及时周到；</w:t>
            </w:r>
          </w:p>
          <w:p>
            <w:pPr>
              <w:ind w:firstLine="3373" w:firstLineChars="1600"/>
              <w:rPr>
                <w:b/>
                <w:bCs/>
              </w:rPr>
            </w:pPr>
            <w:r>
              <w:rPr>
                <w:rFonts w:hint="eastAsia"/>
                <w:b/>
                <w:bCs/>
              </w:rPr>
              <w:t>实现污染预防，        注重节能降耗；</w:t>
            </w:r>
          </w:p>
          <w:p>
            <w:pPr>
              <w:ind w:firstLine="3373" w:firstLineChars="1600"/>
              <w:rPr>
                <w:b/>
                <w:bCs/>
              </w:rPr>
            </w:pPr>
            <w:r>
              <w:rPr>
                <w:rFonts w:hint="eastAsia"/>
                <w:b/>
                <w:bCs/>
              </w:rPr>
              <w:t>及时消除隐患，        保障健康安全；</w:t>
            </w:r>
          </w:p>
          <w:p>
            <w:pPr>
              <w:ind w:firstLine="3373" w:firstLineChars="1600"/>
              <w:jc w:val="left"/>
              <w:rPr>
                <w:u w:val="single"/>
              </w:rPr>
            </w:pPr>
            <w:r>
              <w:rPr>
                <w:rFonts w:hint="eastAsia"/>
                <w:b/>
                <w:bCs/>
              </w:rPr>
              <w:t>遵守法律法规，        坚持持续改进。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rPr>
                  </w:pPr>
                  <w:r>
                    <w:rPr>
                      <w:rFonts w:hint="eastAsia"/>
                      <w:b/>
                    </w:rPr>
                    <w:t>风险：</w:t>
                  </w:r>
                  <w:r>
                    <w:rPr>
                      <w:rFonts w:hint="eastAsia"/>
                    </w:rPr>
                    <w:t>客户对产品和服务质量、环境、安全标准提高，给公司质量、环境、安全和售后管理提出新的要求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市场竞争的加剧，公司管理水平的提升，会给公司带来潜在的发展机遇</w:t>
                  </w:r>
                </w:p>
              </w:tc>
              <w:tc>
                <w:tcPr>
                  <w:tcW w:w="3965" w:type="dxa"/>
                  <w:vAlign w:val="top"/>
                </w:tcPr>
                <w:p>
                  <w:pPr>
                    <w:numPr>
                      <w:ilvl w:val="0"/>
                      <w:numId w:val="2"/>
                    </w:numPr>
                    <w:shd w:val="clear" w:color="auto" w:fill="C7DAF1" w:themeFill="text2" w:themeFillTint="32"/>
                    <w:rPr>
                      <w:rFonts w:hint="eastAsia"/>
                    </w:rPr>
                  </w:pPr>
                  <w:r>
                    <w:rPr>
                      <w:rFonts w:hint="eastAsia"/>
                    </w:rPr>
                    <w:t>销售部、综合办公室、技术部加强与客户进行质量标准制定的沟通，统一双方的标准和方法。</w:t>
                  </w:r>
                </w:p>
                <w:p>
                  <w:pPr>
                    <w:pStyle w:val="11"/>
                    <w:numPr>
                      <w:ilvl w:val="0"/>
                      <w:numId w:val="2"/>
                    </w:numPr>
                    <w:rPr>
                      <w:rFonts w:ascii="Times New Roman" w:hAnsi="Times New Roman" w:eastAsia="宋体" w:cs="Times New Roman"/>
                      <w:bCs/>
                      <w:spacing w:val="10"/>
                      <w:kern w:val="2"/>
                      <w:sz w:val="21"/>
                      <w:szCs w:val="24"/>
                      <w:lang w:val="en-US" w:eastAsia="zh-CN" w:bidi="ar-SA"/>
                    </w:rPr>
                  </w:pPr>
                  <w:r>
                    <w:rPr>
                      <w:rFonts w:hint="eastAsia"/>
                    </w:rPr>
                    <w:t>销售部、综合办公室、技术部门做好施工计划的安排，保证计划的执行。</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rPr>
                      <w:rFonts w:hint="eastAsia"/>
                    </w:rPr>
                  </w:pPr>
                  <w:r>
                    <w:rPr>
                      <w:rFonts w:hint="eastAsia"/>
                      <w:b/>
                    </w:rPr>
                    <w:t>风险：</w:t>
                  </w:r>
                  <w:r>
                    <w:rPr>
                      <w:rFonts w:hint="eastAsia"/>
                    </w:rPr>
                    <w:t>监管部门监管力度的加大，如公司执行不规范，可能存在被查处的风险</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行业环境的变化，给公司带来新的发展机遇</w:t>
                  </w:r>
                </w:p>
              </w:tc>
              <w:tc>
                <w:tcPr>
                  <w:tcW w:w="3965" w:type="dxa"/>
                  <w:vAlign w:val="top"/>
                </w:tcPr>
                <w:p>
                  <w:pPr>
                    <w:numPr>
                      <w:ilvl w:val="0"/>
                      <w:numId w:val="3"/>
                    </w:numPr>
                    <w:shd w:val="clear" w:color="auto" w:fill="C7DAF1" w:themeFill="text2" w:themeFillTint="32"/>
                    <w:rPr>
                      <w:rFonts w:hint="eastAsia"/>
                    </w:rPr>
                  </w:pPr>
                  <w:r>
                    <w:rPr>
                      <w:rFonts w:hint="eastAsia"/>
                    </w:rPr>
                    <w:t>各级部门严格按照公司的规章制度开展相关工作。</w:t>
                  </w:r>
                </w:p>
                <w:p>
                  <w:pPr>
                    <w:pStyle w:val="11"/>
                    <w:numPr>
                      <w:ilvl w:val="0"/>
                      <w:numId w:val="3"/>
                    </w:numPr>
                    <w:rPr>
                      <w:rFonts w:ascii="Times New Roman" w:hAnsi="Times New Roman" w:eastAsia="宋体" w:cs="Times New Roman"/>
                      <w:bCs/>
                      <w:spacing w:val="10"/>
                      <w:kern w:val="2"/>
                      <w:sz w:val="21"/>
                      <w:szCs w:val="24"/>
                      <w:lang w:val="en-US" w:eastAsia="zh-CN" w:bidi="ar-SA"/>
                    </w:rPr>
                  </w:pPr>
                  <w:r>
                    <w:rPr>
                      <w:rFonts w:hint="eastAsia"/>
                    </w:rPr>
                    <w:t>职能部门加大公司内部制度执行情况的检查。</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uppressLineNumbers/>
                    <w:tabs>
                      <w:tab w:val="left" w:pos="420"/>
                      <w:tab w:val="left" w:pos="425"/>
                    </w:tabs>
                    <w:suppressAutoHyphens/>
                    <w:topLinePunct/>
                    <w:spacing w:line="440" w:lineRule="exact"/>
                    <w:rPr>
                      <w:rFonts w:hint="eastAsia" w:ascii="宋体" w:hAnsi="宋体" w:eastAsia="宋体" w:cs="宋体"/>
                      <w:bCs/>
                      <w:color w:val="000000"/>
                      <w:kern w:val="2"/>
                      <w:sz w:val="21"/>
                      <w:szCs w:val="21"/>
                      <w:lang w:val="en-US" w:eastAsia="zh-CN" w:bidi="ar-SA"/>
                    </w:rPr>
                  </w:pPr>
                  <w:r>
                    <w:rPr>
                      <w:rFonts w:hint="eastAsia" w:ascii="宋体" w:hAnsi="宋体"/>
                      <w:bCs/>
                      <w:szCs w:val="21"/>
                    </w:rPr>
                    <w:t>研发/技术服务项目合格率100%；</w:t>
                  </w:r>
                </w:p>
              </w:tc>
              <w:tc>
                <w:tcPr>
                  <w:tcW w:w="3136" w:type="dxa"/>
                  <w:shd w:val="clear" w:color="auto" w:fill="auto"/>
                  <w:vAlign w:val="center"/>
                </w:tcPr>
                <w:p>
                  <w:pPr>
                    <w:suppressLineNumbers/>
                    <w:suppressAutoHyphens/>
                    <w:topLinePunct/>
                    <w:rPr>
                      <w:rFonts w:hint="eastAsia" w:ascii="宋体" w:hAnsi="宋体" w:eastAsia="宋体" w:cs="宋体"/>
                      <w:bCs/>
                      <w:color w:val="000000"/>
                      <w:kern w:val="2"/>
                      <w:sz w:val="21"/>
                      <w:szCs w:val="21"/>
                      <w:lang w:val="en-GB" w:eastAsia="zh-CN" w:bidi="ar-SA"/>
                    </w:rPr>
                  </w:pPr>
                  <w:r>
                    <w:rPr>
                      <w:rFonts w:hint="eastAsia" w:ascii="宋体" w:hAnsi="宋体" w:cs="宋体"/>
                      <w:bCs/>
                      <w:color w:val="000000"/>
                      <w:kern w:val="0"/>
                      <w:szCs w:val="21"/>
                    </w:rPr>
                    <w:t>研发</w:t>
                  </w:r>
                  <w:r>
                    <w:rPr>
                      <w:rFonts w:hint="eastAsia" w:ascii="宋体" w:hAnsi="宋体"/>
                      <w:bCs/>
                      <w:szCs w:val="21"/>
                    </w:rPr>
                    <w:t>/技术服务</w:t>
                  </w:r>
                  <w:r>
                    <w:rPr>
                      <w:rFonts w:hint="eastAsia" w:ascii="宋体" w:hAnsi="宋体" w:cs="宋体"/>
                      <w:bCs/>
                      <w:color w:val="000000"/>
                      <w:kern w:val="0"/>
                      <w:szCs w:val="21"/>
                    </w:rPr>
                    <w:t>项目合格数</w:t>
                  </w:r>
                  <w:r>
                    <w:rPr>
                      <w:rFonts w:ascii="宋体" w:hAnsi="宋体" w:cs="宋体"/>
                      <w:bCs/>
                      <w:color w:val="000000"/>
                      <w:kern w:val="0"/>
                      <w:szCs w:val="21"/>
                    </w:rPr>
                    <w:t>/</w:t>
                  </w:r>
                  <w:r>
                    <w:rPr>
                      <w:rFonts w:hint="eastAsia" w:ascii="宋体" w:hAnsi="宋体" w:cs="宋体"/>
                      <w:bCs/>
                      <w:color w:val="000000"/>
                      <w:kern w:val="0"/>
                      <w:szCs w:val="21"/>
                    </w:rPr>
                    <w:t>研发</w:t>
                  </w:r>
                  <w:r>
                    <w:rPr>
                      <w:rFonts w:hint="eastAsia" w:ascii="宋体" w:hAnsi="宋体"/>
                      <w:bCs/>
                      <w:szCs w:val="21"/>
                    </w:rPr>
                    <w:t>/技术服务</w:t>
                  </w:r>
                  <w:r>
                    <w:rPr>
                      <w:rFonts w:hint="eastAsia" w:ascii="宋体" w:hAnsi="宋体" w:cs="宋体"/>
                      <w:bCs/>
                      <w:color w:val="000000"/>
                      <w:kern w:val="0"/>
                      <w:szCs w:val="21"/>
                    </w:rPr>
                    <w:t>项目</w:t>
                  </w:r>
                  <w:r>
                    <w:rPr>
                      <w:rFonts w:ascii="宋体" w:hAnsi="宋体" w:cs="宋体"/>
                      <w:bCs/>
                      <w:color w:val="000000"/>
                      <w:kern w:val="0"/>
                      <w:szCs w:val="21"/>
                    </w:rPr>
                    <w:t>总数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uppressLineNumbers/>
                    <w:suppressAutoHyphens/>
                    <w:topLinePunct/>
                    <w:rPr>
                      <w:rFonts w:hint="eastAsia" w:ascii="宋体" w:hAnsi="宋体" w:eastAsia="宋体" w:cs="宋体"/>
                      <w:bCs/>
                      <w:color w:val="000000"/>
                      <w:kern w:val="0"/>
                      <w:sz w:val="21"/>
                      <w:szCs w:val="21"/>
                      <w:lang w:val="en-GB" w:eastAsia="zh-CN" w:bidi="ar-SA"/>
                    </w:rPr>
                  </w:pPr>
                  <w:r>
                    <w:rPr>
                      <w:rFonts w:ascii="宋体" w:hAnsi="宋体" w:cs="宋体"/>
                      <w:bCs/>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uppressLineNumbers/>
                    <w:tabs>
                      <w:tab w:val="left" w:pos="425"/>
                    </w:tabs>
                    <w:suppressAutoHyphens/>
                    <w:topLinePunct/>
                    <w:spacing w:line="440" w:lineRule="exact"/>
                    <w:rPr>
                      <w:rFonts w:hint="eastAsia" w:ascii="宋体" w:hAnsi="宋体" w:eastAsia="宋体" w:cs="宋体"/>
                      <w:bCs/>
                      <w:color w:val="000000"/>
                      <w:kern w:val="2"/>
                      <w:sz w:val="21"/>
                      <w:szCs w:val="21"/>
                      <w:lang w:val="en-US" w:eastAsia="zh-CN" w:bidi="ar-SA"/>
                    </w:rPr>
                  </w:pPr>
                  <w:r>
                    <w:rPr>
                      <w:rFonts w:hint="eastAsia" w:ascii="宋体" w:hAnsi="宋体"/>
                      <w:bCs/>
                      <w:szCs w:val="21"/>
                    </w:rPr>
                    <w:t>顾客满意率大于90%；</w:t>
                  </w:r>
                </w:p>
              </w:tc>
              <w:tc>
                <w:tcPr>
                  <w:tcW w:w="3136" w:type="dxa"/>
                  <w:shd w:val="clear" w:color="auto" w:fill="auto"/>
                  <w:vAlign w:val="center"/>
                </w:tcPr>
                <w:p>
                  <w:pPr>
                    <w:suppressLineNumbers/>
                    <w:suppressAutoHyphens/>
                    <w:topLinePunct/>
                    <w:rPr>
                      <w:rFonts w:hint="eastAsia" w:ascii="宋体" w:hAnsi="宋体" w:eastAsia="宋体" w:cs="宋体"/>
                      <w:bCs/>
                      <w:color w:val="000000"/>
                      <w:kern w:val="0"/>
                      <w:sz w:val="21"/>
                      <w:szCs w:val="21"/>
                      <w:lang w:val="en-US" w:eastAsia="zh-CN" w:bidi="ar-SA"/>
                    </w:rPr>
                  </w:pPr>
                  <w:r>
                    <w:rPr>
                      <w:rFonts w:hint="eastAsia" w:ascii="宋体" w:hAnsi="宋体" w:cs="宋体"/>
                      <w:bCs/>
                      <w:color w:val="000000"/>
                      <w:szCs w:val="21"/>
                    </w:rPr>
                    <w:t>根据顾客满意度调查</w:t>
                  </w:r>
                  <w:r>
                    <w:rPr>
                      <w:rFonts w:ascii="宋体" w:hAnsi="宋体" w:cs="宋体"/>
                      <w:bCs/>
                      <w:color w:val="000000"/>
                      <w:szCs w:val="21"/>
                    </w:rPr>
                    <w:t>统计</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综合部</w:t>
                  </w:r>
                </w:p>
              </w:tc>
              <w:tc>
                <w:tcPr>
                  <w:tcW w:w="1774" w:type="dxa"/>
                  <w:shd w:val="clear" w:color="auto" w:fill="auto"/>
                  <w:vAlign w:val="center"/>
                </w:tcPr>
                <w:p>
                  <w:pPr>
                    <w:suppressLineNumbers/>
                    <w:suppressAutoHyphens/>
                    <w:topLinePunct/>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Cs w:val="21"/>
                    </w:rPr>
                    <w:t>9</w:t>
                  </w:r>
                  <w:r>
                    <w:rPr>
                      <w:rFonts w:hint="eastAsia" w:ascii="宋体" w:hAnsi="宋体" w:cs="宋体"/>
                      <w:bCs/>
                      <w:color w:val="000000"/>
                      <w:kern w:val="0"/>
                      <w:szCs w:val="21"/>
                      <w:lang w:val="en-US" w:eastAsia="zh-CN"/>
                    </w:rPr>
                    <w:t>5</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u w:val="single"/>
              </w:rPr>
              <w:t>（</w:t>
            </w:r>
            <w:r>
              <w:rPr>
                <w:rFonts w:hint="eastAsia"/>
                <w:u w:val="single"/>
                <w:lang w:eastAsia="zh-CN"/>
              </w:rPr>
              <w:t>K6003人座钢瓦楞厢车、SF6回收车</w:t>
            </w:r>
            <w:r>
              <w:rPr>
                <w:rFonts w:hint="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sym w:font="Wingdings 2" w:char="0052"/>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sym w:font="Wingdings 2" w:char="0052"/>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w:t>
            </w:r>
            <w:r>
              <w:rPr>
                <w:rFonts w:hint="eastAsia"/>
                <w:u w:val="single"/>
                <w:lang w:val="en-US" w:eastAsia="zh-CN"/>
              </w:rPr>
              <w:t>压力表</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sym w:font="Wingdings 2" w:char="0052"/>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sym w:font="Wingdings 2" w:char="0052"/>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六氟化硫净化服务</w:t>
                  </w:r>
                </w:p>
              </w:tc>
              <w:tc>
                <w:tcPr>
                  <w:tcW w:w="3665" w:type="dxa"/>
                </w:tcPr>
                <w:p>
                  <w:pPr>
                    <w:shd w:val="clear" w:color="auto" w:fill="C7DAF1" w:themeFill="text2" w:themeFillTint="32"/>
                    <w:jc w:val="left"/>
                  </w:pPr>
                  <w:r>
                    <w:rPr>
                      <w:rFonts w:hint="eastAsia"/>
                      <w:color w:val="000000"/>
                      <w:lang w:val="en-US" w:eastAsia="zh-CN"/>
                    </w:rPr>
                    <w:t>回收、提纯、净化</w:t>
                  </w:r>
                </w:p>
              </w:tc>
              <w:tc>
                <w:tcPr>
                  <w:tcW w:w="3265" w:type="dxa"/>
                </w:tcPr>
                <w:p>
                  <w:pPr>
                    <w:shd w:val="clear" w:color="auto" w:fill="C7DAF1" w:themeFill="text2" w:themeFillTint="32"/>
                    <w:jc w:val="left"/>
                  </w:pPr>
                  <w:r>
                    <w:rPr>
                      <w:rFonts w:hint="eastAsia"/>
                      <w:color w:val="000000"/>
                      <w:lang w:val="en-US" w:eastAsia="zh-CN"/>
                    </w:rPr>
                    <w:t>压力、纯度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t>¨</w:t>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通过年度策划于2021.12.10-11实施了质量管理体系内部审核，对质量管理体系的符合性和有效性进行了审核。内审发现的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最高管理者已按策划的时间间隔，在2021.12.31对组织的质量管理体系进行了评审，以确保其持续的适宜性、充分性和有效性；管理评审输入、输出均按要求提供。并对提出的改进措施进行了落实。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A3"/>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rPr>
            </w:pPr>
            <w:r>
              <w:rPr>
                <w:rFonts w:hint="eastAsia"/>
              </w:rPr>
              <w:t>最高管理者制定了文件化的管理体系方针：</w:t>
            </w:r>
          </w:p>
          <w:p>
            <w:pPr>
              <w:ind w:firstLine="3373" w:firstLineChars="1600"/>
              <w:rPr>
                <w:b/>
                <w:bCs/>
              </w:rPr>
            </w:pPr>
            <w:r>
              <w:rPr>
                <w:rFonts w:hint="eastAsia"/>
                <w:b/>
                <w:bCs/>
              </w:rPr>
              <w:t>质量精益求精，        服务及时周到；</w:t>
            </w:r>
          </w:p>
          <w:p>
            <w:pPr>
              <w:ind w:firstLine="3373" w:firstLineChars="1600"/>
              <w:rPr>
                <w:b/>
                <w:bCs/>
              </w:rPr>
            </w:pPr>
            <w:r>
              <w:rPr>
                <w:rFonts w:hint="eastAsia"/>
                <w:b/>
                <w:bCs/>
              </w:rPr>
              <w:t>实现污染预防，        注重节能降耗；</w:t>
            </w:r>
          </w:p>
          <w:p>
            <w:pPr>
              <w:ind w:firstLine="3373" w:firstLineChars="1600"/>
              <w:rPr>
                <w:b/>
                <w:bCs/>
              </w:rPr>
            </w:pPr>
            <w:r>
              <w:rPr>
                <w:rFonts w:hint="eastAsia"/>
                <w:b/>
                <w:bCs/>
              </w:rPr>
              <w:t>及时消除隐患，        保障健康安全；</w:t>
            </w:r>
          </w:p>
          <w:p>
            <w:pPr>
              <w:ind w:firstLine="3373" w:firstLineChars="1600"/>
              <w:jc w:val="left"/>
            </w:pPr>
            <w:r>
              <w:rPr>
                <w:rFonts w:hint="eastAsia"/>
                <w:b/>
                <w:bCs/>
              </w:rPr>
              <w:t>遵守法律法规，        坚持持续改进。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szCs w:val="21"/>
                    </w:rPr>
                    <w:t>行业标准的变化</w:t>
                  </w:r>
                </w:p>
              </w:tc>
              <w:tc>
                <w:tcPr>
                  <w:tcW w:w="3965"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rPr>
                    <w:t>1.主要职能部门按照要求加强法律法规的收集评价</w:t>
                  </w:r>
                  <w:r>
                    <w:rPr>
                      <w:rFonts w:hint="eastAsia"/>
                      <w:lang w:eastAsia="zh-CN"/>
                    </w:rPr>
                    <w:t>；</w:t>
                  </w:r>
                  <w:r>
                    <w:rPr>
                      <w:rFonts w:hint="eastAsia"/>
                    </w:rPr>
                    <w:t>综合办公室加大市场开拓</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rPr>
                  </w:pPr>
                  <w:r>
                    <w:rPr>
                      <w:rFonts w:hint="eastAsia"/>
                      <w:b/>
                    </w:rPr>
                    <w:t>风险：</w:t>
                  </w:r>
                  <w:r>
                    <w:rPr>
                      <w:rFonts w:hint="eastAsia"/>
                    </w:rPr>
                    <w:t>目前公司管理流程基本覆盖了公司日常工作，但是流程执行力如果得不到保证，会对公司运行带来一定的风险。</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b/>
                    </w:rPr>
                    <w:t>机遇：</w:t>
                  </w:r>
                  <w:r>
                    <w:rPr>
                      <w:rFonts w:hint="eastAsia"/>
                      <w:spacing w:val="-6"/>
                      <w:szCs w:val="21"/>
                    </w:rPr>
                    <w:t>完善流程，提高执行力，可以提高公司的管理水平。</w:t>
                  </w:r>
                </w:p>
              </w:tc>
              <w:tc>
                <w:tcPr>
                  <w:tcW w:w="3965" w:type="dxa"/>
                  <w:vAlign w:val="top"/>
                </w:tcPr>
                <w:p>
                  <w:pPr>
                    <w:rPr>
                      <w:rFonts w:hint="eastAsia"/>
                    </w:rPr>
                  </w:pPr>
                  <w:r>
                    <w:rPr>
                      <w:rFonts w:hint="eastAsia"/>
                    </w:rPr>
                    <w:t>1.各级部门必须严格按照流程开展日常工作，对出现的不符合情况及时调整文件，保持流程的可操作性；</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2.公司组织定期组织进行流程的评审。</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w:t>
            </w:r>
            <w:r>
              <w:rPr>
                <w:rFonts w:hint="eastAsia"/>
              </w:rPr>
              <w:sym w:font="Wingdings 2" w:char="00A3"/>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uppressLineNumbers/>
                    <w:tabs>
                      <w:tab w:val="left" w:pos="425"/>
                    </w:tabs>
                    <w:suppressAutoHyphens/>
                    <w:topLinePunct/>
                    <w:spacing w:line="440" w:lineRule="exact"/>
                    <w:rPr>
                      <w:rFonts w:hint="eastAsia" w:ascii="宋体" w:hAnsi="宋体" w:eastAsia="宋体" w:cs="Times New Roman"/>
                      <w:bCs/>
                      <w:kern w:val="2"/>
                      <w:sz w:val="21"/>
                      <w:szCs w:val="21"/>
                      <w:lang w:val="en-US" w:eastAsia="zh-CN" w:bidi="ar-SA"/>
                    </w:rPr>
                  </w:pPr>
                  <w:r>
                    <w:rPr>
                      <w:rFonts w:hint="eastAsia" w:ascii="宋体" w:hAnsi="宋体" w:eastAsia="宋体" w:cs="Times New Roman"/>
                      <w:bCs/>
                      <w:szCs w:val="21"/>
                      <w:lang w:val="en-US" w:eastAsia="zh-CN"/>
                    </w:rPr>
                    <w:t>固体</w:t>
                  </w:r>
                  <w:r>
                    <w:rPr>
                      <w:rFonts w:hint="eastAsia" w:ascii="宋体" w:hAnsi="宋体" w:eastAsia="宋体" w:cs="Times New Roman"/>
                      <w:bCs/>
                      <w:szCs w:val="21"/>
                    </w:rPr>
                    <w:t>废弃物统一收集、统一处理率100%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环境管理方案</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uppressLineNumbers/>
                    <w:suppressAutoHyphens/>
                    <w:topLinePunct/>
                    <w:rPr>
                      <w:rFonts w:ascii="宋体" w:hAnsi="宋体" w:eastAsia="宋体" w:cs="宋体"/>
                      <w:bCs/>
                      <w:color w:val="000000"/>
                      <w:kern w:val="0"/>
                      <w:sz w:val="21"/>
                      <w:szCs w:val="21"/>
                      <w:lang w:val="en-GB" w:eastAsia="zh-CN" w:bidi="ar-SA"/>
                    </w:rPr>
                  </w:pPr>
                  <w:r>
                    <w:rPr>
                      <w:rFonts w:ascii="宋体" w:hAnsi="宋体" w:cs="宋体"/>
                      <w:bCs/>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uppressLineNumbers/>
                    <w:tabs>
                      <w:tab w:val="left" w:pos="425"/>
                    </w:tabs>
                    <w:suppressAutoHyphens/>
                    <w:topLinePunct/>
                    <w:spacing w:line="440" w:lineRule="exact"/>
                    <w:rPr>
                      <w:rFonts w:hint="eastAsia" w:ascii="宋体" w:hAnsi="宋体" w:eastAsia="宋体" w:cs="Times New Roman"/>
                      <w:bCs/>
                      <w:kern w:val="2"/>
                      <w:sz w:val="21"/>
                      <w:szCs w:val="21"/>
                      <w:lang w:val="en-US" w:eastAsia="zh-CN" w:bidi="ar-SA"/>
                    </w:rPr>
                  </w:pPr>
                  <w:r>
                    <w:rPr>
                      <w:rFonts w:hint="eastAsia" w:ascii="宋体" w:hAnsi="宋体" w:eastAsia="宋体" w:cs="Times New Roman"/>
                      <w:bCs/>
                      <w:szCs w:val="21"/>
                    </w:rPr>
                    <w:t>火灾事件为零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环境管理方案、应急方案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uppressLineNumbers/>
                    <w:suppressAutoHyphens/>
                    <w:topLinePunct/>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u w:val="single"/>
              </w:rPr>
              <w:t>（</w:t>
            </w:r>
            <w:r>
              <w:rPr>
                <w:rFonts w:hint="eastAsia"/>
                <w:u w:val="single"/>
                <w:lang w:eastAsia="zh-CN"/>
              </w:rPr>
              <w:t>K6003人座钢瓦楞厢车、SF6回收车</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eastAsia="zh-CN"/>
              </w:rPr>
              <w:t>K6003人座钢瓦楞厢车、SF6回收车</w:t>
            </w:r>
            <w:r>
              <w:rPr>
                <w:rFonts w:hint="eastAsia"/>
                <w:u w:val="single"/>
              </w:rPr>
              <w:t>）</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sym w:font="Wingdings 2" w:char="0052"/>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t>¨</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sym w:font="Wingdings 2" w:char="0052"/>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分类管理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配备灭火器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于2021.11.13触电事故应急演练；并总结了预案的可行性和有效性。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通过年度策划于2021.12.10-11实施了环境管理体系内部审核，对环境管理体系的符合性和有效性进行了审核。内审发现的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最高管理者已按策划的时间间隔，在2021.12.31对组织的环境管理体系进行了评审，以确保其持续的适宜性、充分性和有效性；管理评审输入、输出均按要求提供。并对提出的改进措施进行了落实。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w:t>
                  </w:r>
                  <w:r>
                    <w:rPr>
                      <w:rFonts w:hint="eastAsia"/>
                    </w:rPr>
                    <w:sym w:font="Wingdings 2" w:char="0052"/>
                  </w:r>
                  <w:r>
                    <w:rPr>
                      <w:rFonts w:hint="eastAsia"/>
                    </w:rPr>
                    <w:t>文化□知识□绩效□工艺□设备□人员能力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ind w:firstLine="3584" w:firstLineChars="1700"/>
              <w:rPr>
                <w:b/>
                <w:bCs/>
              </w:rPr>
            </w:pPr>
            <w:r>
              <w:rPr>
                <w:rFonts w:hint="eastAsia"/>
                <w:b/>
                <w:bCs/>
              </w:rPr>
              <w:t>质量精益求精，        服务及时周到；</w:t>
            </w:r>
          </w:p>
          <w:p>
            <w:pPr>
              <w:ind w:firstLine="3584" w:firstLineChars="1700"/>
              <w:rPr>
                <w:b/>
                <w:bCs/>
              </w:rPr>
            </w:pPr>
            <w:r>
              <w:rPr>
                <w:rFonts w:hint="eastAsia"/>
                <w:b/>
                <w:bCs/>
              </w:rPr>
              <w:t>实现污染预防，        注重节能降耗；</w:t>
            </w:r>
          </w:p>
          <w:p>
            <w:pPr>
              <w:ind w:firstLine="3584" w:firstLineChars="1700"/>
              <w:rPr>
                <w:b/>
                <w:bCs/>
              </w:rPr>
            </w:pPr>
            <w:r>
              <w:rPr>
                <w:rFonts w:hint="eastAsia"/>
                <w:b/>
                <w:bCs/>
              </w:rPr>
              <w:t>及时消除隐患，        保障健康安全；</w:t>
            </w:r>
          </w:p>
          <w:p>
            <w:pPr>
              <w:ind w:firstLine="3584" w:firstLineChars="1700"/>
              <w:jc w:val="left"/>
              <w:rPr>
                <w:u w:val="single"/>
              </w:rPr>
            </w:pPr>
            <w:r>
              <w:rPr>
                <w:rFonts w:hint="eastAsia"/>
                <w:b/>
                <w:bCs/>
              </w:rPr>
              <w:t>遵守法律法规，        坚持持续改进。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周敬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安全用电</w:t>
                  </w:r>
                </w:p>
              </w:tc>
              <w:tc>
                <w:tcPr>
                  <w:tcW w:w="3965" w:type="dxa"/>
                  <w:vAlign w:val="top"/>
                </w:tcPr>
                <w:p>
                  <w:pPr>
                    <w:widowControl/>
                    <w:numPr>
                      <w:ilvl w:val="0"/>
                      <w:numId w:val="4"/>
                    </w:numPr>
                    <w:tabs>
                      <w:tab w:val="left" w:pos="204"/>
                    </w:tabs>
                    <w:ind w:left="0" w:firstLine="0"/>
                    <w:jc w:val="left"/>
                    <w:rPr>
                      <w:rFonts w:ascii="宋体" w:hAnsi="宋体"/>
                      <w:sz w:val="21"/>
                      <w:szCs w:val="21"/>
                    </w:rPr>
                  </w:pPr>
                  <w:r>
                    <w:rPr>
                      <w:rFonts w:hint="eastAsia" w:ascii="宋体" w:hAnsi="宋体"/>
                      <w:sz w:val="21"/>
                      <w:szCs w:val="21"/>
                    </w:rPr>
                    <w:t>确定控制部门和人员职责。</w:t>
                  </w:r>
                </w:p>
                <w:p>
                  <w:pPr>
                    <w:widowControl/>
                    <w:numPr>
                      <w:ilvl w:val="0"/>
                      <w:numId w:val="4"/>
                    </w:numPr>
                    <w:tabs>
                      <w:tab w:val="left" w:pos="204"/>
                    </w:tabs>
                    <w:ind w:left="0" w:firstLine="0"/>
                    <w:jc w:val="left"/>
                    <w:rPr>
                      <w:rFonts w:ascii="宋体" w:hAnsi="宋体"/>
                      <w:sz w:val="21"/>
                      <w:szCs w:val="21"/>
                    </w:rPr>
                  </w:pPr>
                  <w:r>
                    <w:rPr>
                      <w:rFonts w:hint="eastAsia" w:ascii="宋体" w:hAnsi="宋体"/>
                      <w:sz w:val="21"/>
                      <w:szCs w:val="21"/>
                    </w:rPr>
                    <w:t>组织控制岗位人员培训。</w:t>
                  </w:r>
                </w:p>
                <w:p>
                  <w:pPr>
                    <w:widowControl/>
                    <w:numPr>
                      <w:ilvl w:val="0"/>
                      <w:numId w:val="4"/>
                    </w:numPr>
                    <w:tabs>
                      <w:tab w:val="left" w:pos="204"/>
                    </w:tabs>
                    <w:ind w:left="0" w:firstLine="0"/>
                    <w:jc w:val="left"/>
                    <w:rPr>
                      <w:rFonts w:ascii="宋体" w:hAnsi="宋体"/>
                      <w:sz w:val="21"/>
                      <w:szCs w:val="21"/>
                    </w:rPr>
                  </w:pPr>
                  <w:r>
                    <w:rPr>
                      <w:rFonts w:hint="eastAsia" w:ascii="宋体" w:hAnsi="宋体"/>
                      <w:sz w:val="21"/>
                      <w:szCs w:val="21"/>
                    </w:rPr>
                    <w:t>认真作好设备巡检检查，严禁私拉乱接。</w:t>
                  </w:r>
                </w:p>
                <w:p>
                  <w:pPr>
                    <w:widowControl/>
                    <w:numPr>
                      <w:ilvl w:val="0"/>
                      <w:numId w:val="4"/>
                    </w:numPr>
                    <w:tabs>
                      <w:tab w:val="left" w:pos="204"/>
                    </w:tabs>
                    <w:ind w:left="0" w:firstLine="0"/>
                    <w:jc w:val="left"/>
                    <w:rPr>
                      <w:rFonts w:ascii="宋体" w:hAnsi="宋体"/>
                      <w:sz w:val="21"/>
                      <w:szCs w:val="21"/>
                    </w:rPr>
                  </w:pPr>
                  <w:r>
                    <w:rPr>
                      <w:rFonts w:hint="eastAsia" w:ascii="宋体" w:hAnsi="宋体"/>
                      <w:sz w:val="21"/>
                      <w:szCs w:val="21"/>
                    </w:rPr>
                    <w:t>严禁使用老化、破损的电线、电缆。</w:t>
                  </w:r>
                </w:p>
                <w:p>
                  <w:pPr>
                    <w:widowControl/>
                    <w:numPr>
                      <w:ilvl w:val="0"/>
                      <w:numId w:val="4"/>
                    </w:numPr>
                    <w:tabs>
                      <w:tab w:val="left" w:pos="204"/>
                    </w:tabs>
                    <w:ind w:left="0" w:firstLine="0"/>
                    <w:jc w:val="left"/>
                    <w:rPr>
                      <w:rFonts w:ascii="宋体" w:hAnsi="宋体"/>
                      <w:sz w:val="21"/>
                      <w:szCs w:val="21"/>
                    </w:rPr>
                  </w:pPr>
                  <w:r>
                    <w:rPr>
                      <w:rFonts w:hint="eastAsia" w:ascii="宋体" w:hAnsi="宋体"/>
                      <w:sz w:val="21"/>
                      <w:szCs w:val="21"/>
                    </w:rPr>
                    <w:t>更换已损坏的配电箱、电源开关和漏电保护器。</w:t>
                  </w:r>
                </w:p>
                <w:p>
                  <w:pPr>
                    <w:widowControl/>
                    <w:numPr>
                      <w:ilvl w:val="0"/>
                      <w:numId w:val="4"/>
                    </w:numPr>
                    <w:tabs>
                      <w:tab w:val="left" w:pos="204"/>
                    </w:tabs>
                    <w:ind w:left="0" w:firstLine="0"/>
                    <w:jc w:val="left"/>
                    <w:rPr>
                      <w:rFonts w:ascii="宋体" w:hAnsi="宋体"/>
                      <w:sz w:val="21"/>
                      <w:szCs w:val="21"/>
                    </w:rPr>
                  </w:pPr>
                  <w:r>
                    <w:rPr>
                      <w:rFonts w:hint="eastAsia" w:ascii="宋体" w:hAnsi="宋体"/>
                      <w:sz w:val="21"/>
                      <w:szCs w:val="21"/>
                    </w:rPr>
                    <w:t>电器设备和线路严禁非专业人员进行修理。</w:t>
                  </w:r>
                </w:p>
                <w:p>
                  <w:pPr>
                    <w:rPr>
                      <w:rFonts w:hint="default" w:ascii="Times New Roman" w:hAnsi="Times New Roman" w:eastAsia="宋体" w:cs="Times New Roman"/>
                      <w:kern w:val="2"/>
                      <w:sz w:val="21"/>
                      <w:szCs w:val="24"/>
                      <w:lang w:val="en-US" w:eastAsia="zh-CN" w:bidi="ar-SA"/>
                    </w:rPr>
                  </w:pPr>
                  <w:r>
                    <w:rPr>
                      <w:rFonts w:hint="eastAsia" w:ascii="宋体" w:hAnsi="宋体"/>
                      <w:sz w:val="21"/>
                      <w:szCs w:val="21"/>
                      <w:lang w:val="en-US" w:eastAsia="zh-CN"/>
                    </w:rPr>
                    <w:t>作业时佩戴绝缘手套、绝缘鞋等</w:t>
                  </w:r>
                  <w:r>
                    <w:rPr>
                      <w:rFonts w:hint="eastAsia" w:ascii="宋体" w:hAnsi="宋体"/>
                      <w:sz w:val="21"/>
                      <w:szCs w:val="21"/>
                    </w:rPr>
                    <w:t>。</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宋体" w:eastAsia="宋体" w:cs="Times New Roman"/>
                      <w:sz w:val="21"/>
                      <w:szCs w:val="21"/>
                      <w:lang w:val="en-US" w:eastAsia="zh-CN"/>
                    </w:rPr>
                    <w:t>六氟化硫泄漏</w:t>
                  </w:r>
                </w:p>
              </w:tc>
              <w:tc>
                <w:tcPr>
                  <w:tcW w:w="3965" w:type="dxa"/>
                  <w:vAlign w:val="top"/>
                </w:tcPr>
                <w:p>
                  <w:pPr>
                    <w:numPr>
                      <w:ilvl w:val="0"/>
                      <w:numId w:val="5"/>
                    </w:numPr>
                    <w:rPr>
                      <w:rFonts w:hint="eastAsia" w:ascii="宋体" w:hAnsi="宋体"/>
                      <w:sz w:val="21"/>
                      <w:szCs w:val="21"/>
                    </w:rPr>
                  </w:pPr>
                  <w:r>
                    <w:rPr>
                      <w:rFonts w:hint="eastAsia" w:ascii="宋体" w:hAnsi="宋体"/>
                      <w:sz w:val="21"/>
                      <w:szCs w:val="21"/>
                      <w:lang w:val="en-US" w:eastAsia="zh-CN"/>
                    </w:rPr>
                    <w:t>配备防毒面具、六氟化硫报警器等设施</w:t>
                  </w:r>
                  <w:r>
                    <w:rPr>
                      <w:rFonts w:hint="eastAsia" w:ascii="宋体" w:hAnsi="宋体"/>
                      <w:sz w:val="21"/>
                      <w:szCs w:val="21"/>
                    </w:rPr>
                    <w:t>。</w:t>
                  </w:r>
                </w:p>
                <w:p>
                  <w:pPr>
                    <w:numPr>
                      <w:ilvl w:val="0"/>
                      <w:numId w:val="5"/>
                    </w:numPr>
                    <w:rPr>
                      <w:rFonts w:ascii="宋体" w:hAnsi="宋体"/>
                      <w:sz w:val="21"/>
                      <w:szCs w:val="21"/>
                    </w:rPr>
                  </w:pPr>
                  <w:r>
                    <w:rPr>
                      <w:rFonts w:hint="eastAsia" w:ascii="宋体" w:hAnsi="宋体"/>
                      <w:sz w:val="21"/>
                      <w:szCs w:val="21"/>
                      <w:lang w:val="en-US" w:eastAsia="zh-CN"/>
                    </w:rPr>
                    <w:t>加强设备维修报告，确保设备正常可靠使用</w:t>
                  </w:r>
                  <w:r>
                    <w:rPr>
                      <w:rFonts w:hint="eastAsia" w:ascii="宋体" w:hAnsi="宋体"/>
                      <w:sz w:val="21"/>
                      <w:szCs w:val="21"/>
                    </w:rPr>
                    <w:t>。</w:t>
                  </w:r>
                </w:p>
                <w:p>
                  <w:pPr>
                    <w:rPr>
                      <w:rFonts w:hint="default" w:ascii="Times New Roman" w:hAnsi="Times New Roman" w:eastAsia="宋体" w:cs="Times New Roman"/>
                      <w:kern w:val="2"/>
                      <w:sz w:val="21"/>
                      <w:szCs w:val="24"/>
                      <w:lang w:val="en-US" w:eastAsia="zh-CN" w:bidi="ar-SA"/>
                    </w:rPr>
                  </w:pPr>
                  <w:r>
                    <w:rPr>
                      <w:rFonts w:hint="eastAsia" w:ascii="宋体" w:hAnsi="宋体"/>
                      <w:sz w:val="21"/>
                      <w:szCs w:val="21"/>
                    </w:rPr>
                    <w:t>3.</w:t>
                  </w:r>
                  <w:r>
                    <w:rPr>
                      <w:rFonts w:hint="eastAsia" w:ascii="宋体" w:hAnsi="宋体"/>
                      <w:sz w:val="21"/>
                      <w:szCs w:val="21"/>
                      <w:lang w:val="en-US" w:eastAsia="zh-CN"/>
                    </w:rPr>
                    <w:t>加强对操作员工的安全意识</w:t>
                  </w:r>
                  <w:r>
                    <w:rPr>
                      <w:rFonts w:hint="eastAsia" w:ascii="宋体" w:hAnsi="宋体"/>
                      <w:sz w:val="21"/>
                      <w:szCs w:val="21"/>
                    </w:rPr>
                    <w:t>宣传、培训。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ascii="宋体" w:hAnsi="宋体"/>
                      <w:color w:val="000000"/>
                      <w:szCs w:val="21"/>
                      <w:lang w:val="en-US" w:eastAsia="zh-CN"/>
                    </w:rPr>
                    <w:t>意外</w:t>
                  </w:r>
                  <w:r>
                    <w:rPr>
                      <w:rFonts w:hint="eastAsia" w:ascii="宋体" w:hAnsi="宋体"/>
                      <w:color w:val="000000"/>
                      <w:szCs w:val="21"/>
                    </w:rPr>
                    <w:t>交通事故</w:t>
                  </w:r>
                </w:p>
              </w:tc>
              <w:tc>
                <w:tcPr>
                  <w:tcW w:w="3965" w:type="dxa"/>
                  <w:vAlign w:val="top"/>
                </w:tcPr>
                <w:p>
                  <w:r>
                    <w:rPr>
                      <w:rFonts w:hint="eastAsia" w:ascii="宋体" w:hAnsi="宋体"/>
                      <w:color w:val="000000"/>
                      <w:szCs w:val="21"/>
                    </w:rPr>
                    <w:t>加强教育与培训，遵守交通法规，加强车辆维护，人车购买保险。</w:t>
                  </w:r>
                </w:p>
              </w:tc>
              <w:tc>
                <w:tcPr>
                  <w:tcW w:w="1717" w:type="dxa"/>
                  <w:vAlign w:val="top"/>
                </w:tcPr>
                <w:p>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w:t>
            </w:r>
            <w:r>
              <w:rPr>
                <w:rFonts w:hint="eastAsia"/>
              </w:rPr>
              <w:sym w:font="Wingdings 2" w:char="00A3"/>
            </w:r>
            <w:bookmarkStart w:id="34" w:name="_GoBack"/>
            <w:r>
              <w:rPr>
                <w:rFonts w:hint="eastAsia"/>
              </w:rPr>
              <w:t>压力容器</w:t>
            </w:r>
            <w:bookmarkEnd w:id="34"/>
            <w:r>
              <w:rPr>
                <w:rFonts w:hint="eastAsia"/>
              </w:rPr>
              <w:t>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uppressLineNumbers/>
                    <w:tabs>
                      <w:tab w:val="left" w:pos="425"/>
                    </w:tabs>
                    <w:suppressAutoHyphens/>
                    <w:topLinePunct/>
                    <w:spacing w:line="440" w:lineRule="exact"/>
                    <w:rPr>
                      <w:rFonts w:hint="eastAsia" w:ascii="宋体" w:hAnsi="宋体" w:eastAsia="宋体" w:cs="Times New Roman"/>
                      <w:bCs/>
                      <w:kern w:val="2"/>
                      <w:sz w:val="21"/>
                      <w:szCs w:val="21"/>
                      <w:lang w:val="en-US" w:eastAsia="zh-CN" w:bidi="ar-SA"/>
                    </w:rPr>
                  </w:pPr>
                  <w:r>
                    <w:rPr>
                      <w:rFonts w:hint="eastAsia" w:ascii="宋体" w:hAnsi="宋体" w:eastAsia="宋体" w:cs="Times New Roman"/>
                      <w:bCs/>
                      <w:szCs w:val="21"/>
                    </w:rPr>
                    <w:t>火灾事件为零</w:t>
                  </w:r>
                </w:p>
              </w:tc>
              <w:tc>
                <w:tcPr>
                  <w:tcW w:w="3136" w:type="dxa"/>
                  <w:shd w:val="clear" w:color="auto" w:fill="auto"/>
                  <w:vAlign w:val="center"/>
                </w:tcPr>
                <w:p>
                  <w:pPr>
                    <w:rPr>
                      <w:rFonts w:hint="default" w:eastAsia="宋体"/>
                      <w:lang w:val="en-US" w:eastAsia="zh-CN"/>
                    </w:rPr>
                  </w:pPr>
                  <w:r>
                    <w:rPr>
                      <w:rFonts w:hint="eastAsia"/>
                      <w:lang w:val="en-US" w:eastAsia="zh-CN"/>
                    </w:rPr>
                    <w:t>管理方案、应急预案</w:t>
                  </w:r>
                </w:p>
              </w:tc>
              <w:tc>
                <w:tcPr>
                  <w:tcW w:w="1350" w:type="dxa"/>
                  <w:shd w:val="clear" w:color="auto" w:fill="auto"/>
                  <w:vAlign w:val="center"/>
                </w:tcPr>
                <w:p>
                  <w:pPr>
                    <w:rPr>
                      <w:rFonts w:hint="default" w:eastAsia="宋体"/>
                      <w:lang w:val="en-US" w:eastAsia="zh-CN"/>
                    </w:rPr>
                  </w:pPr>
                  <w:r>
                    <w:rPr>
                      <w:rFonts w:hint="eastAsia" w:ascii="宋体" w:hAnsi="宋体"/>
                      <w:lang w:val="en-US" w:eastAsia="zh-CN"/>
                    </w:rPr>
                    <w:t>各部门</w:t>
                  </w:r>
                </w:p>
              </w:tc>
              <w:tc>
                <w:tcPr>
                  <w:tcW w:w="1774" w:type="dxa"/>
                  <w:shd w:val="clear" w:color="auto" w:fill="auto"/>
                  <w:vAlign w:val="center"/>
                </w:tcPr>
                <w:p>
                  <w:pPr>
                    <w:suppressLineNumbers/>
                    <w:suppressAutoHyphens/>
                    <w:topLinePunct/>
                    <w:rPr>
                      <w:rFonts w:hint="eastAsia" w:ascii="宋体" w:hAnsi="宋体" w:eastAsia="宋体" w:cs="宋体"/>
                      <w:bCs/>
                      <w:color w:val="000000"/>
                      <w:kern w:val="0"/>
                      <w:sz w:val="21"/>
                      <w:szCs w:val="21"/>
                      <w:lang w:val="en-GB" w:eastAsia="zh-CN" w:bidi="ar-SA"/>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uppressLineNumbers/>
                    <w:tabs>
                      <w:tab w:val="left" w:pos="425"/>
                    </w:tabs>
                    <w:suppressAutoHyphens/>
                    <w:topLinePunct/>
                    <w:spacing w:line="440" w:lineRule="exact"/>
                    <w:rPr>
                      <w:rFonts w:hint="eastAsia" w:ascii="宋体" w:hAnsi="宋体" w:eastAsia="宋体" w:cs="Times New Roman"/>
                      <w:bCs/>
                      <w:kern w:val="2"/>
                      <w:sz w:val="21"/>
                      <w:szCs w:val="21"/>
                      <w:lang w:val="en-US" w:eastAsia="zh-CN" w:bidi="ar-SA"/>
                    </w:rPr>
                  </w:pPr>
                  <w:r>
                    <w:rPr>
                      <w:rFonts w:hint="eastAsia" w:ascii="宋体" w:hAnsi="宋体" w:eastAsia="宋体" w:cs="Times New Roman"/>
                      <w:bCs/>
                      <w:szCs w:val="21"/>
                    </w:rPr>
                    <w:t>触电事故为零</w:t>
                  </w:r>
                </w:p>
              </w:tc>
              <w:tc>
                <w:tcPr>
                  <w:tcW w:w="3136" w:type="dxa"/>
                  <w:shd w:val="clear" w:color="auto" w:fill="auto"/>
                  <w:vAlign w:val="center"/>
                </w:tcPr>
                <w:p>
                  <w:pPr>
                    <w:rPr>
                      <w:rFonts w:ascii="宋体" w:hAnsi="宋体"/>
                    </w:rPr>
                  </w:pPr>
                  <w:r>
                    <w:rPr>
                      <w:rFonts w:hint="eastAsia"/>
                      <w:lang w:val="en-US" w:eastAsia="zh-CN"/>
                    </w:rPr>
                    <w:t>管理方案、应急预案</w:t>
                  </w:r>
                </w:p>
              </w:tc>
              <w:tc>
                <w:tcPr>
                  <w:tcW w:w="1350" w:type="dxa"/>
                  <w:shd w:val="clear" w:color="auto" w:fill="auto"/>
                  <w:vAlign w:val="center"/>
                </w:tcPr>
                <w:p>
                  <w:pPr>
                    <w:rPr>
                      <w:rFonts w:ascii="宋体" w:hAnsi="宋体"/>
                    </w:rPr>
                  </w:pPr>
                  <w:r>
                    <w:rPr>
                      <w:rFonts w:hint="eastAsia" w:ascii="宋体" w:hAnsi="宋体"/>
                      <w:lang w:val="en-US" w:eastAsia="zh-CN"/>
                    </w:rPr>
                    <w:t>各部门</w:t>
                  </w:r>
                </w:p>
              </w:tc>
              <w:tc>
                <w:tcPr>
                  <w:tcW w:w="1774" w:type="dxa"/>
                  <w:shd w:val="clear" w:color="auto" w:fill="auto"/>
                  <w:vAlign w:val="center"/>
                </w:tcPr>
                <w:p>
                  <w:pPr>
                    <w:suppressLineNumbers/>
                    <w:suppressAutoHyphens/>
                    <w:topLinePunct/>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uppressLineNumbers/>
                    <w:tabs>
                      <w:tab w:val="left" w:pos="425"/>
                    </w:tabs>
                    <w:suppressAutoHyphens/>
                    <w:topLinePunct/>
                    <w:spacing w:line="440" w:lineRule="exact"/>
                    <w:rPr>
                      <w:rFonts w:hint="eastAsia" w:ascii="宋体" w:hAnsi="宋体" w:eastAsia="宋体" w:cs="Times New Roman"/>
                      <w:bCs/>
                      <w:szCs w:val="21"/>
                    </w:rPr>
                  </w:pPr>
                  <w:r>
                    <w:rPr>
                      <w:rFonts w:hint="eastAsia" w:ascii="宋体" w:hAnsi="宋体" w:eastAsia="宋体" w:cs="Times New Roman"/>
                      <w:bCs/>
                      <w:szCs w:val="21"/>
                    </w:rPr>
                    <w:t>交通责任事故发生次数为零</w:t>
                  </w:r>
                </w:p>
              </w:tc>
              <w:tc>
                <w:tcPr>
                  <w:tcW w:w="3136" w:type="dxa"/>
                  <w:shd w:val="clear" w:color="auto" w:fill="auto"/>
                  <w:vAlign w:val="center"/>
                </w:tcPr>
                <w:p>
                  <w:pPr>
                    <w:suppressLineNumbers/>
                    <w:tabs>
                      <w:tab w:val="left" w:pos="425"/>
                    </w:tabs>
                    <w:suppressAutoHyphens/>
                    <w:topLinePunct/>
                    <w:spacing w:line="440" w:lineRule="exact"/>
                    <w:rPr>
                      <w:rFonts w:hint="eastAsia" w:ascii="宋体" w:hAnsi="宋体" w:eastAsia="宋体" w:cs="Times New Roman"/>
                      <w:bCs/>
                      <w:szCs w:val="21"/>
                    </w:rPr>
                  </w:pPr>
                  <w:r>
                    <w:rPr>
                      <w:rFonts w:hint="eastAsia" w:ascii="宋体" w:hAnsi="宋体" w:eastAsia="宋体" w:cs="Times New Roman"/>
                      <w:bCs/>
                      <w:szCs w:val="21"/>
                    </w:rPr>
                    <w:t>加强教育与培训，遵守交通法规，加强车辆维护，人车购买保险。</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jc w:val="both"/>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平方米；生产车间个；库房个；实验室个；</w:t>
            </w:r>
          </w:p>
          <w:p>
            <w:pPr>
              <w:rPr>
                <w:u w:val="single"/>
              </w:rPr>
            </w:pPr>
            <w:r>
              <w:rPr>
                <w:rFonts w:hint="eastAsia"/>
              </w:rPr>
              <w:t>主要生产设备有：</w:t>
            </w:r>
            <w:r>
              <w:rPr>
                <w:rFonts w:hint="eastAsia"/>
                <w:u w:val="single"/>
              </w:rPr>
              <w:t>（</w:t>
            </w:r>
            <w:r>
              <w:rPr>
                <w:rFonts w:hint="eastAsia"/>
                <w:u w:val="single"/>
                <w:lang w:eastAsia="zh-CN"/>
              </w:rPr>
              <w:t>K6003人座钢瓦楞厢车、SF6回收车</w:t>
            </w:r>
            <w:r>
              <w:rPr>
                <w:rFonts w:hint="eastAsia"/>
                <w:u w:val="single"/>
              </w:rPr>
              <w:t>）</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t>¨</w:t>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sym w:font="Wingdings 2" w:char="0052"/>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sym w:font="Wingdings 2" w:char="0052"/>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2" w:char="0052"/>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2" w:char="0052"/>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2" w:char="0052"/>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sym w:font="Wingdings 2" w:char="0052"/>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w:t>
                  </w:r>
                  <w:r>
                    <w:rPr>
                      <w:rFonts w:hint="eastAsia"/>
                    </w:rPr>
                    <w:sym w:font="Wingdings 2" w:char="0052"/>
                  </w:r>
                  <w:r>
                    <w:rPr>
                      <w:rFonts w:hint="eastAsia"/>
                    </w:rPr>
                    <w:t>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灭火器</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sym w:font="Wingdings 2" w:char="0052"/>
            </w:r>
            <w:r>
              <w:rPr>
                <w:rFonts w:hint="eastAsia"/>
              </w:rPr>
              <w:t>进行了定期检查</w:t>
            </w:r>
            <w:r>
              <w:rPr>
                <w:rFonts w:hint="eastAsia" w:ascii="Wingdings" w:hAnsi="Wingdings"/>
              </w:rPr>
              <w:t>¨</w:t>
            </w:r>
            <w:r>
              <w:rPr>
                <w:rFonts w:hint="eastAsia"/>
              </w:rPr>
              <w:t>未进行定期检查的有：</w:t>
            </w:r>
          </w:p>
          <w:p>
            <w:pPr>
              <w:rPr>
                <w:rFonts w:hint="default"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通过年度策划于2021.12.10-11实施了职业健康安全管理体系内部审核，对职业健康安全管理体系的符合性和有效性进行了审核。内审发现的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最高管理者已按策划的时间间隔，在2021.12.31对组织的职业健康安全管理体系进行了评审，以确保其持续的适宜性、充分性和有效性；管理评审输入、输出均按要求提供。并对提出的改进措施进行了落实。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77402"/>
    <w:multiLevelType w:val="singleLevel"/>
    <w:tmpl w:val="8AE77402"/>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4FB18297"/>
    <w:multiLevelType w:val="singleLevel"/>
    <w:tmpl w:val="4FB18297"/>
    <w:lvl w:ilvl="0" w:tentative="0">
      <w:start w:val="1"/>
      <w:numFmt w:val="decimal"/>
      <w:lvlText w:val="%1."/>
      <w:lvlJc w:val="left"/>
      <w:pPr>
        <w:tabs>
          <w:tab w:val="left" w:pos="312"/>
        </w:tabs>
      </w:pPr>
    </w:lvl>
  </w:abstractNum>
  <w:abstractNum w:abstractNumId="3">
    <w:nsid w:val="6EFF1B9A"/>
    <w:multiLevelType w:val="singleLevel"/>
    <w:tmpl w:val="6EFF1B9A"/>
    <w:lvl w:ilvl="0" w:tentative="0">
      <w:start w:val="1"/>
      <w:numFmt w:val="decimal"/>
      <w:lvlText w:val="%1."/>
      <w:lvlJc w:val="left"/>
      <w:pPr>
        <w:tabs>
          <w:tab w:val="left" w:pos="312"/>
        </w:tabs>
      </w:pPr>
    </w:lvl>
  </w:abstractNum>
  <w:abstractNum w:abstractNumId="4">
    <w:nsid w:val="74BC25B5"/>
    <w:multiLevelType w:val="multilevel"/>
    <w:tmpl w:val="74BC25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2E32E2"/>
    <w:rsid w:val="0E0F1632"/>
    <w:rsid w:val="0FB64EE7"/>
    <w:rsid w:val="10682289"/>
    <w:rsid w:val="12166CFC"/>
    <w:rsid w:val="13D076AF"/>
    <w:rsid w:val="15AD69B7"/>
    <w:rsid w:val="17B521F1"/>
    <w:rsid w:val="1E3E0300"/>
    <w:rsid w:val="22FC5438"/>
    <w:rsid w:val="24C670F1"/>
    <w:rsid w:val="2628538C"/>
    <w:rsid w:val="34D174A7"/>
    <w:rsid w:val="37CE4F43"/>
    <w:rsid w:val="3AA206F0"/>
    <w:rsid w:val="40A9359C"/>
    <w:rsid w:val="43D72527"/>
    <w:rsid w:val="45136C6D"/>
    <w:rsid w:val="48B5424C"/>
    <w:rsid w:val="4A22702C"/>
    <w:rsid w:val="4B0D64B7"/>
    <w:rsid w:val="5056535D"/>
    <w:rsid w:val="60E80E81"/>
    <w:rsid w:val="64C14734"/>
    <w:rsid w:val="6E1F7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2022-03-20T08:20:12Z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