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bookmarkStart w:id="0" w:name="_GoBack"/>
      <w:bookmarkEnd w:id="0"/>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98"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eastAsia="zh-CN"/>
              </w:rPr>
            </w:pPr>
            <w:r>
              <w:rPr>
                <w:rFonts w:hint="eastAsia"/>
                <w:sz w:val="24"/>
                <w:szCs w:val="24"/>
              </w:rPr>
              <w:t>受审核部门：</w:t>
            </w:r>
            <w:r>
              <w:rPr>
                <w:rFonts w:hint="eastAsia"/>
                <w:sz w:val="24"/>
                <w:szCs w:val="24"/>
                <w:lang w:val="en-US" w:eastAsia="zh-CN"/>
              </w:rPr>
              <w:t>综合部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苏建荣</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郭静</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spacing w:before="120" w:line="360" w:lineRule="auto"/>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郭力、李博         </w:t>
            </w:r>
            <w:r>
              <w:rPr>
                <w:rFonts w:hint="eastAsia"/>
                <w:sz w:val="24"/>
                <w:szCs w:val="24"/>
              </w:rPr>
              <w:t>审核时间：202</w:t>
            </w:r>
            <w:r>
              <w:rPr>
                <w:rFonts w:hint="eastAsia"/>
                <w:sz w:val="24"/>
                <w:szCs w:val="24"/>
                <w:lang w:val="en-US" w:eastAsia="zh-CN"/>
              </w:rPr>
              <w:t>2</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15-16</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adjustRightInd w:val="0"/>
              <w:snapToGrid w:val="0"/>
              <w:spacing w:line="360" w:lineRule="auto"/>
              <w:ind w:right="105" w:rightChars="50"/>
              <w:textAlignment w:val="baseline"/>
              <w:rPr>
                <w:rFonts w:hint="default" w:ascii="宋体" w:hAnsi="宋体" w:eastAsia="宋体" w:cs="Arial"/>
                <w:color w:val="auto"/>
                <w:spacing w:val="-6"/>
                <w:sz w:val="21"/>
                <w:szCs w:val="21"/>
                <w:lang w:val="en-US" w:eastAsia="zh-CN"/>
              </w:rPr>
            </w:pPr>
            <w:r>
              <w:rPr>
                <w:rFonts w:hint="eastAsia"/>
                <w:sz w:val="24"/>
                <w:szCs w:val="24"/>
              </w:rPr>
              <w:t>审核条款</w:t>
            </w:r>
            <w:r>
              <w:rPr>
                <w:rFonts w:hint="eastAsia" w:ascii="宋体" w:hAnsi="宋体" w:cs="Arial"/>
                <w:color w:val="auto"/>
                <w:sz w:val="21"/>
                <w:szCs w:val="21"/>
                <w:lang w:val="en-US" w:eastAsia="zh-CN"/>
              </w:rPr>
              <w:t>Q:8.2、8.4、9.1.2</w:t>
            </w:r>
          </w:p>
          <w:p>
            <w:pPr>
              <w:adjustRightInd w:val="0"/>
              <w:snapToGrid w:val="0"/>
              <w:spacing w:line="360" w:lineRule="auto"/>
              <w:ind w:right="105" w:rightChars="50"/>
              <w:textAlignment w:val="baseline"/>
              <w:rPr>
                <w:sz w:val="24"/>
                <w:szCs w:val="24"/>
              </w:rPr>
            </w:pPr>
            <w:r>
              <w:rPr>
                <w:rFonts w:hint="eastAsia" w:ascii="宋体" w:hAnsi="宋体" w:cs="Arial"/>
                <w:color w:val="auto"/>
                <w:spacing w:val="-6"/>
                <w:sz w:val="21"/>
                <w:szCs w:val="21"/>
                <w:lang w:val="en-US" w:eastAsia="zh-CN"/>
              </w:rPr>
              <w:t xml:space="preserve">            E：</w:t>
            </w:r>
            <w:r>
              <w:rPr>
                <w:rFonts w:hint="eastAsia" w:asciiTheme="minorEastAsia" w:hAnsiTheme="minorEastAsia" w:eastAsiaTheme="minorEastAsia" w:cstheme="minorEastAsia"/>
                <w:b w:val="0"/>
                <w:bCs w:val="0"/>
                <w:color w:val="auto"/>
                <w:sz w:val="21"/>
                <w:szCs w:val="21"/>
                <w:lang w:val="en-US" w:eastAsia="zh-CN"/>
              </w:rPr>
              <w:t>6.1.2、6.1.4</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rPr>
              <w:t>产品和服务的要求确定、评审和更改</w:t>
            </w:r>
          </w:p>
        </w:tc>
        <w:tc>
          <w:tcPr>
            <w:tcW w:w="998" w:type="dxa"/>
            <w:vAlign w:val="top"/>
          </w:tcPr>
          <w:p>
            <w:pPr>
              <w:spacing w:line="360" w:lineRule="auto"/>
              <w:rPr>
                <w:rFonts w:hint="eastAsia" w:ascii="Times New Roman" w:hAnsi="Times New Roman" w:eastAsia="宋体" w:cs="Times New Roman"/>
                <w:color w:val="auto"/>
                <w:kern w:val="2"/>
                <w:sz w:val="21"/>
                <w:lang w:val="en-US" w:eastAsia="zh-CN" w:bidi="ar-SA"/>
              </w:rPr>
            </w:pPr>
            <w:r>
              <w:rPr>
                <w:color w:val="auto"/>
              </w:rPr>
              <w:t>8.2</w:t>
            </w:r>
          </w:p>
        </w:tc>
        <w:tc>
          <w:tcPr>
            <w:tcW w:w="10004" w:type="dxa"/>
            <w:vAlign w:val="top"/>
          </w:tcPr>
          <w:p>
            <w:pPr>
              <w:spacing w:line="360" w:lineRule="auto"/>
              <w:ind w:firstLine="420" w:firstLineChars="200"/>
              <w:rPr>
                <w:color w:val="auto"/>
              </w:rPr>
            </w:pPr>
            <w:r>
              <w:rPr>
                <w:rFonts w:hint="eastAsia"/>
                <w:color w:val="auto"/>
                <w:lang w:val="en-US" w:eastAsia="zh-CN"/>
              </w:rPr>
              <w:t>综合部</w:t>
            </w:r>
            <w:r>
              <w:rPr>
                <w:rFonts w:hint="eastAsia"/>
                <w:color w:val="auto"/>
              </w:rPr>
              <w:t>经常对顾客进行走访，了解顾客的意见。</w:t>
            </w:r>
          </w:p>
          <w:p>
            <w:pPr>
              <w:spacing w:line="360" w:lineRule="auto"/>
              <w:rPr>
                <w:rFonts w:hint="default" w:eastAsia="宋体"/>
                <w:color w:val="auto"/>
                <w:lang w:val="en-US" w:eastAsia="zh-CN"/>
              </w:rPr>
            </w:pPr>
            <w:r>
              <w:rPr>
                <w:rFonts w:hint="eastAsia"/>
                <w:color w:val="auto"/>
                <w:lang w:val="en-US" w:eastAsia="zh-CN"/>
              </w:rPr>
              <w:t>业务人员</w:t>
            </w:r>
            <w:r>
              <w:rPr>
                <w:rFonts w:hint="eastAsia"/>
                <w:color w:val="auto"/>
              </w:rPr>
              <w:t>联系用户、了解相关信息等，与顾客签订合同或订单；</w:t>
            </w:r>
            <w:r>
              <w:rPr>
                <w:rFonts w:hint="eastAsia"/>
                <w:color w:val="auto"/>
                <w:lang w:val="en-US" w:eastAsia="zh-CN"/>
              </w:rPr>
              <w:t>企业的顾客仅一家：西安西开电力装备智慧服务有限公司，主要为西开公司的变电站提供六氟化硫净化服务。</w:t>
            </w:r>
          </w:p>
          <w:p>
            <w:pPr>
              <w:spacing w:line="360" w:lineRule="auto"/>
              <w:rPr>
                <w:color w:val="auto"/>
              </w:rPr>
            </w:pPr>
            <w:r>
              <w:rPr>
                <w:rFonts w:hint="eastAsia"/>
                <w:color w:val="auto"/>
                <w:lang w:val="en-US" w:eastAsia="zh-CN"/>
              </w:rPr>
              <w:t>服务过程</w:t>
            </w:r>
            <w:r>
              <w:rPr>
                <w:rFonts w:hint="eastAsia"/>
                <w:color w:val="auto"/>
              </w:rPr>
              <w:t>：与客户保持密切沟通，不定期回访用户，并对顾客反馈问题解答。体系建立实施至今未发生顾客投诉。</w:t>
            </w:r>
            <w:r>
              <w:rPr>
                <w:rFonts w:hint="eastAsia"/>
                <w:color w:val="auto"/>
                <w:lang w:eastAsia="zh-CN"/>
              </w:rPr>
              <w:t>综合部</w:t>
            </w:r>
            <w:r>
              <w:rPr>
                <w:rFonts w:hint="eastAsia"/>
                <w:color w:val="auto"/>
              </w:rPr>
              <w:t>获取</w:t>
            </w:r>
            <w:r>
              <w:rPr>
                <w:rFonts w:hint="eastAsia"/>
                <w:color w:val="auto"/>
                <w:lang w:val="en-US" w:eastAsia="zh-CN"/>
              </w:rPr>
              <w:t>六氟化硫净化项目</w:t>
            </w:r>
            <w:r>
              <w:rPr>
                <w:rFonts w:hint="eastAsia"/>
                <w:color w:val="auto"/>
              </w:rPr>
              <w:t>信息，与客户洽谈，在签订合同前对客户要求进行评审，确认可以满足行业有关法律、法规要求和公司规定及客户要求时，签订合同，根据</w:t>
            </w:r>
            <w:r>
              <w:rPr>
                <w:rFonts w:hint="eastAsia"/>
                <w:color w:val="auto"/>
                <w:lang w:val="en-US" w:eastAsia="zh-CN"/>
              </w:rPr>
              <w:t>服务</w:t>
            </w:r>
            <w:r>
              <w:rPr>
                <w:rFonts w:hint="eastAsia"/>
                <w:color w:val="auto"/>
              </w:rPr>
              <w:t>合同为客户提供服务。</w:t>
            </w:r>
          </w:p>
          <w:p>
            <w:pPr>
              <w:spacing w:line="360" w:lineRule="auto"/>
              <w:ind w:firstLine="420" w:firstLineChars="200"/>
              <w:rPr>
                <w:rFonts w:hint="default" w:eastAsia="宋体"/>
                <w:color w:val="auto"/>
                <w:lang w:val="en-US" w:eastAsia="zh-CN"/>
              </w:rPr>
            </w:pPr>
            <w:r>
              <w:rPr>
                <w:rFonts w:hint="eastAsia"/>
                <w:color w:val="auto"/>
              </w:rPr>
              <w:t>查</w:t>
            </w:r>
            <w:r>
              <w:rPr>
                <w:rFonts w:hint="eastAsia"/>
                <w:color w:val="auto"/>
                <w:lang w:eastAsia="zh-CN"/>
              </w:rPr>
              <w:t>《</w:t>
            </w:r>
            <w:r>
              <w:rPr>
                <w:rFonts w:hint="eastAsia"/>
                <w:color w:val="auto"/>
                <w:lang w:val="en-US" w:eastAsia="zh-CN"/>
              </w:rPr>
              <w:t>交易基本合同》（六氟化硫气体回收处理）</w:t>
            </w:r>
          </w:p>
          <w:p>
            <w:pPr>
              <w:spacing w:line="360" w:lineRule="auto"/>
              <w:rPr>
                <w:rFonts w:hint="default" w:eastAsia="宋体"/>
                <w:color w:val="auto"/>
                <w:lang w:val="en-US" w:eastAsia="zh-CN"/>
              </w:rPr>
            </w:pPr>
            <w:r>
              <w:rPr>
                <w:rFonts w:hint="eastAsia"/>
                <w:color w:val="auto"/>
                <w:lang w:val="en-US" w:eastAsia="zh-CN"/>
              </w:rPr>
              <w:t>1</w:t>
            </w:r>
            <w:r>
              <w:rPr>
                <w:rFonts w:hint="eastAsia"/>
                <w:color w:val="auto"/>
              </w:rPr>
              <w:t>客户：</w:t>
            </w:r>
            <w:r>
              <w:rPr>
                <w:rFonts w:hint="eastAsia"/>
                <w:color w:val="auto"/>
                <w:lang w:val="en-US" w:eastAsia="zh-CN"/>
              </w:rPr>
              <w:t>西安西开电力</w:t>
            </w:r>
            <w:r>
              <w:rPr>
                <w:rFonts w:hint="eastAsia" w:eastAsia="宋体"/>
                <w:color w:val="auto"/>
                <w:lang w:val="en-US" w:eastAsia="zh-CN"/>
              </w:rPr>
              <w:t>装备智慧服务有限公司   供方∶陕西亚强电气设备有限公司</w:t>
            </w:r>
          </w:p>
          <w:p>
            <w:pPr>
              <w:spacing w:line="360" w:lineRule="auto"/>
              <w:rPr>
                <w:rFonts w:hint="eastAsia" w:eastAsia="宋体"/>
                <w:color w:val="auto"/>
                <w:lang w:val="en-US" w:eastAsia="zh-CN"/>
              </w:rPr>
            </w:pPr>
            <w:r>
              <w:rPr>
                <w:rFonts w:hint="eastAsia" w:eastAsia="宋体"/>
                <w:color w:val="auto"/>
                <w:lang w:val="en-US" w:eastAsia="zh-CN"/>
              </w:rPr>
              <w:t>合同编号∶XKZHFW-202110001-1    签订时间∶2021年10月27日</w:t>
            </w:r>
          </w:p>
          <w:p>
            <w:pPr>
              <w:spacing w:line="360" w:lineRule="auto"/>
              <w:rPr>
                <w:rFonts w:hint="default" w:eastAsia="宋体"/>
                <w:color w:val="auto"/>
                <w:lang w:val="en-US" w:eastAsia="zh-CN"/>
              </w:rPr>
            </w:pPr>
            <w:r>
              <w:rPr>
                <w:rFonts w:hint="eastAsia" w:eastAsia="宋体"/>
                <w:color w:val="auto"/>
                <w:lang w:val="en-US" w:eastAsia="zh-CN"/>
              </w:rPr>
              <w:t>合同范围1）甲方委托乙方为甲方或甲方业主提供 SF6 气体回收处理等服务，乙方根据甲方需要完成前述现场委外业务工作。2）乙方提供服务的方式根据具体情况分为全包和半包两种，具体以甲方的书面通知为准。2.1全包∶按任务整体包干，乙方对全部服务进度和服务质量负责。2.2 半包∶按实际服务天数和服务内容核算。以甲方确认的《现场完工确认单》作为核算依据。乙方对全部服务质量负责。3）合同的有效期限∶本合同有效期为壹年，自2021年11月1日至 2022年10月31日。</w:t>
            </w:r>
          </w:p>
          <w:p>
            <w:pPr>
              <w:spacing w:line="360" w:lineRule="auto"/>
              <w:rPr>
                <w:rFonts w:hint="default" w:eastAsia="宋体"/>
                <w:color w:val="auto"/>
                <w:lang w:val="en-US" w:eastAsia="zh-CN"/>
              </w:rPr>
            </w:pPr>
            <w:r>
              <w:rPr>
                <w:rFonts w:hint="eastAsia" w:eastAsia="宋体"/>
                <w:color w:val="auto"/>
                <w:lang w:val="en-US" w:eastAsia="zh-CN"/>
              </w:rPr>
              <w:t>与企业综合部苏建荣沟通，企业只提供2.2半包服务。</w:t>
            </w:r>
          </w:p>
          <w:p>
            <w:pPr>
              <w:widowControl/>
              <w:spacing w:line="360" w:lineRule="auto"/>
              <w:jc w:val="left"/>
              <w:rPr>
                <w:rFonts w:ascii="宋体" w:hAnsi="宋体" w:cs="宋体"/>
                <w:bCs/>
                <w:color w:val="auto"/>
                <w:szCs w:val="24"/>
              </w:rPr>
            </w:pPr>
            <w:r>
              <w:rPr>
                <w:rFonts w:hint="eastAsia" w:ascii="宋体" w:hAnsi="宋体" w:cs="宋体"/>
                <w:bCs/>
                <w:color w:val="auto"/>
                <w:szCs w:val="24"/>
              </w:rPr>
              <w:t>合同明确了产品名称、单位、数量、</w:t>
            </w:r>
            <w:r>
              <w:rPr>
                <w:rFonts w:hint="eastAsia" w:ascii="宋体" w:hAnsi="宋体" w:cs="宋体"/>
                <w:bCs/>
                <w:color w:val="auto"/>
                <w:szCs w:val="24"/>
                <w:lang w:val="en-US" w:eastAsia="zh-CN"/>
              </w:rPr>
              <w:t>服务</w:t>
            </w:r>
            <w:r>
              <w:rPr>
                <w:rFonts w:hint="eastAsia" w:ascii="宋体" w:hAnsi="宋体" w:cs="宋体"/>
                <w:bCs/>
                <w:color w:val="auto"/>
                <w:szCs w:val="24"/>
              </w:rPr>
              <w:t>方式、结算、违约等。</w:t>
            </w:r>
          </w:p>
          <w:p>
            <w:pPr>
              <w:spacing w:line="360" w:lineRule="auto"/>
              <w:rPr>
                <w:color w:val="auto"/>
              </w:rPr>
            </w:pPr>
            <w:r>
              <w:rPr>
                <w:rFonts w:hint="eastAsia"/>
                <w:color w:val="auto"/>
              </w:rPr>
              <w:t>评审内容：</w:t>
            </w:r>
          </w:p>
          <w:p>
            <w:pPr>
              <w:spacing w:line="360" w:lineRule="auto"/>
              <w:rPr>
                <w:color w:val="auto"/>
              </w:rPr>
            </w:pPr>
            <w:r>
              <w:rPr>
                <w:rFonts w:hint="eastAsia"/>
                <w:color w:val="auto"/>
              </w:rPr>
              <w:t>技术质量要求√</w:t>
            </w:r>
          </w:p>
          <w:p>
            <w:pPr>
              <w:spacing w:line="360" w:lineRule="auto"/>
              <w:rPr>
                <w:color w:val="auto"/>
              </w:rPr>
            </w:pPr>
            <w:r>
              <w:rPr>
                <w:rFonts w:hint="eastAsia"/>
                <w:color w:val="auto"/>
              </w:rPr>
              <w:t>生产能力及交货周期√</w:t>
            </w:r>
          </w:p>
          <w:p>
            <w:pPr>
              <w:spacing w:line="360" w:lineRule="auto"/>
              <w:rPr>
                <w:color w:val="auto"/>
              </w:rPr>
            </w:pPr>
            <w:r>
              <w:rPr>
                <w:rFonts w:hint="eastAsia"/>
                <w:color w:val="auto"/>
              </w:rPr>
              <w:t>价格√</w:t>
            </w:r>
          </w:p>
          <w:p>
            <w:pPr>
              <w:spacing w:line="360" w:lineRule="auto"/>
              <w:rPr>
                <w:rFonts w:hint="eastAsia"/>
                <w:color w:val="auto"/>
              </w:rPr>
            </w:pPr>
            <w:r>
              <w:rPr>
                <w:rFonts w:hint="eastAsia"/>
                <w:color w:val="auto"/>
              </w:rPr>
              <w:t>付款期限及方式√</w:t>
            </w:r>
          </w:p>
          <w:p>
            <w:pPr>
              <w:spacing w:line="360" w:lineRule="auto"/>
              <w:rPr>
                <w:rFonts w:hint="eastAsia"/>
                <w:color w:val="auto"/>
                <w:lang w:val="en-US" w:eastAsia="zh-CN"/>
              </w:rPr>
            </w:pPr>
            <w:r>
              <w:rPr>
                <w:rFonts w:hint="eastAsia" w:ascii="宋体" w:hAnsi="宋体" w:cs="宋体"/>
                <w:color w:val="auto"/>
                <w:szCs w:val="21"/>
              </w:rPr>
              <w:t>评审结论：同意签订合同  批准人：</w:t>
            </w:r>
            <w:r>
              <w:rPr>
                <w:rFonts w:hint="eastAsia" w:ascii="宋体" w:hAnsi="宋体" w:cs="宋体"/>
                <w:color w:val="auto"/>
                <w:szCs w:val="21"/>
                <w:lang w:val="en-US" w:eastAsia="zh-CN"/>
              </w:rPr>
              <w:t>姬大庆</w:t>
            </w:r>
            <w:r>
              <w:rPr>
                <w:rFonts w:hint="eastAsia" w:ascii="宋体" w:hAnsi="宋体" w:cs="宋体"/>
                <w:color w:val="auto"/>
                <w:szCs w:val="21"/>
              </w:rPr>
              <w:t xml:space="preserve">   </w:t>
            </w:r>
            <w:r>
              <w:rPr>
                <w:rFonts w:hint="eastAsia"/>
                <w:color w:val="auto"/>
              </w:rPr>
              <w:t>日期：</w:t>
            </w:r>
            <w:r>
              <w:rPr>
                <w:rFonts w:hint="eastAsia"/>
                <w:color w:val="auto"/>
                <w:lang w:eastAsia="zh-CN"/>
              </w:rPr>
              <w:t>20</w:t>
            </w:r>
            <w:r>
              <w:rPr>
                <w:rFonts w:hint="eastAsia"/>
                <w:color w:val="auto"/>
                <w:lang w:val="en-US" w:eastAsia="zh-CN"/>
              </w:rPr>
              <w:t>21</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25</w:t>
            </w:r>
            <w:r>
              <w:rPr>
                <w:rFonts w:hint="eastAsia"/>
                <w:color w:val="auto"/>
              </w:rPr>
              <w:t>日</w:t>
            </w:r>
          </w:p>
          <w:p>
            <w:pPr>
              <w:pStyle w:val="6"/>
              <w:spacing w:line="360" w:lineRule="auto"/>
              <w:rPr>
                <w:rFonts w:hint="eastAsia"/>
                <w:color w:val="auto"/>
                <w:lang w:val="en-US" w:eastAsia="zh-CN"/>
              </w:rPr>
            </w:pPr>
            <w:r>
              <w:rPr>
                <w:rFonts w:hint="eastAsia"/>
                <w:color w:val="auto"/>
                <w:lang w:val="en-US" w:eastAsia="zh-CN"/>
              </w:rPr>
              <w:drawing>
                <wp:anchor distT="0" distB="0" distL="114300" distR="114300" simplePos="0" relativeHeight="251663360" behindDoc="0" locked="0" layoutInCell="1" allowOverlap="1">
                  <wp:simplePos x="0" y="0"/>
                  <wp:positionH relativeFrom="column">
                    <wp:posOffset>3892550</wp:posOffset>
                  </wp:positionH>
                  <wp:positionV relativeFrom="paragraph">
                    <wp:posOffset>34925</wp:posOffset>
                  </wp:positionV>
                  <wp:extent cx="1774825" cy="2593340"/>
                  <wp:effectExtent l="0" t="0" r="3175" b="10160"/>
                  <wp:wrapNone/>
                  <wp:docPr id="12" name="图片 12" descr="扫描全能王 2022-03-14 14.40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扫描全能王 2022-03-14 14.40_7"/>
                          <pic:cNvPicPr>
                            <a:picLocks noChangeAspect="1"/>
                          </pic:cNvPicPr>
                        </pic:nvPicPr>
                        <pic:blipFill>
                          <a:blip r:embed="rId6"/>
                          <a:stretch>
                            <a:fillRect/>
                          </a:stretch>
                        </pic:blipFill>
                        <pic:spPr>
                          <a:xfrm>
                            <a:off x="0" y="0"/>
                            <a:ext cx="1774825" cy="2593340"/>
                          </a:xfrm>
                          <a:prstGeom prst="rect">
                            <a:avLst/>
                          </a:prstGeom>
                        </pic:spPr>
                      </pic:pic>
                    </a:graphicData>
                  </a:graphic>
                </wp:anchor>
              </w:drawing>
            </w:r>
            <w:r>
              <w:rPr>
                <w:rFonts w:hint="eastAsia"/>
                <w:color w:val="auto"/>
                <w:lang w:val="en-US" w:eastAsia="zh-CN"/>
              </w:rPr>
              <w:drawing>
                <wp:anchor distT="0" distB="0" distL="114300" distR="114300" simplePos="0" relativeHeight="251662336" behindDoc="0" locked="0" layoutInCell="1" allowOverlap="1">
                  <wp:simplePos x="0" y="0"/>
                  <wp:positionH relativeFrom="column">
                    <wp:posOffset>1962150</wp:posOffset>
                  </wp:positionH>
                  <wp:positionV relativeFrom="paragraph">
                    <wp:posOffset>19050</wp:posOffset>
                  </wp:positionV>
                  <wp:extent cx="1746250" cy="2627630"/>
                  <wp:effectExtent l="0" t="0" r="6350" b="1270"/>
                  <wp:wrapNone/>
                  <wp:docPr id="11" name="图片 11" descr="扫描全能王 2022-03-14 14.40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扫描全能王 2022-03-14 14.40_6"/>
                          <pic:cNvPicPr>
                            <a:picLocks noChangeAspect="1"/>
                          </pic:cNvPicPr>
                        </pic:nvPicPr>
                        <pic:blipFill>
                          <a:blip r:embed="rId7"/>
                          <a:stretch>
                            <a:fillRect/>
                          </a:stretch>
                        </pic:blipFill>
                        <pic:spPr>
                          <a:xfrm>
                            <a:off x="0" y="0"/>
                            <a:ext cx="1746250" cy="2627630"/>
                          </a:xfrm>
                          <a:prstGeom prst="rect">
                            <a:avLst/>
                          </a:prstGeom>
                        </pic:spPr>
                      </pic:pic>
                    </a:graphicData>
                  </a:graphic>
                </wp:anchor>
              </w:drawing>
            </w:r>
            <w:r>
              <w:rPr>
                <w:rFonts w:hint="eastAsia"/>
                <w:color w:val="auto"/>
                <w:lang w:val="en-US" w:eastAsia="zh-CN"/>
              </w:rPr>
              <w:drawing>
                <wp:anchor distT="0" distB="0" distL="114300" distR="114300" simplePos="0" relativeHeight="251661312" behindDoc="0" locked="0" layoutInCell="1" allowOverlap="1">
                  <wp:simplePos x="0" y="0"/>
                  <wp:positionH relativeFrom="column">
                    <wp:posOffset>44450</wp:posOffset>
                  </wp:positionH>
                  <wp:positionV relativeFrom="paragraph">
                    <wp:posOffset>23495</wp:posOffset>
                  </wp:positionV>
                  <wp:extent cx="1797685" cy="2628265"/>
                  <wp:effectExtent l="0" t="0" r="5715" b="635"/>
                  <wp:wrapNone/>
                  <wp:docPr id="8" name="图片 8" descr="扫描全能王 2022-03-14 14.4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3-14 14.40_1"/>
                          <pic:cNvPicPr>
                            <a:picLocks noChangeAspect="1"/>
                          </pic:cNvPicPr>
                        </pic:nvPicPr>
                        <pic:blipFill>
                          <a:blip r:embed="rId8"/>
                          <a:stretch>
                            <a:fillRect/>
                          </a:stretch>
                        </pic:blipFill>
                        <pic:spPr>
                          <a:xfrm>
                            <a:off x="0" y="0"/>
                            <a:ext cx="1797685" cy="2628265"/>
                          </a:xfrm>
                          <a:prstGeom prst="rect">
                            <a:avLst/>
                          </a:prstGeom>
                        </pic:spPr>
                      </pic:pic>
                    </a:graphicData>
                  </a:graphic>
                </wp:anchor>
              </w:drawing>
            </w:r>
          </w:p>
          <w:p>
            <w:pPr>
              <w:pStyle w:val="6"/>
              <w:spacing w:line="360" w:lineRule="auto"/>
              <w:rPr>
                <w:rFonts w:hint="eastAsia"/>
                <w:color w:val="auto"/>
                <w:lang w:val="en-US" w:eastAsia="zh-CN"/>
              </w:rPr>
            </w:pPr>
          </w:p>
          <w:p>
            <w:pPr>
              <w:pStyle w:val="7"/>
              <w:spacing w:line="360" w:lineRule="auto"/>
              <w:rPr>
                <w:rFonts w:hint="eastAsia"/>
                <w:color w:val="auto"/>
                <w:lang w:val="en-US" w:eastAsia="zh-CN"/>
              </w:rPr>
            </w:pPr>
          </w:p>
          <w:p>
            <w:pPr>
              <w:pStyle w:val="7"/>
              <w:spacing w:line="360" w:lineRule="auto"/>
              <w:rPr>
                <w:rFonts w:hint="eastAsia"/>
                <w:color w:val="auto"/>
                <w:lang w:val="en-US" w:eastAsia="zh-CN"/>
              </w:rPr>
            </w:pPr>
          </w:p>
          <w:p>
            <w:pPr>
              <w:pStyle w:val="7"/>
              <w:spacing w:line="360" w:lineRule="auto"/>
              <w:rPr>
                <w:rFonts w:hint="eastAsia"/>
                <w:color w:val="auto"/>
                <w:lang w:val="en-US" w:eastAsia="zh-CN"/>
              </w:rPr>
            </w:pPr>
          </w:p>
          <w:p>
            <w:pPr>
              <w:pStyle w:val="7"/>
              <w:spacing w:line="360" w:lineRule="auto"/>
              <w:rPr>
                <w:rFonts w:hint="eastAsia"/>
                <w:color w:val="auto"/>
                <w:lang w:val="en-US" w:eastAsia="zh-CN"/>
              </w:rPr>
            </w:pPr>
          </w:p>
          <w:p>
            <w:pPr>
              <w:pStyle w:val="7"/>
              <w:spacing w:line="360" w:lineRule="auto"/>
              <w:rPr>
                <w:rFonts w:hint="eastAsia"/>
                <w:color w:val="auto"/>
                <w:lang w:val="en-US" w:eastAsia="zh-CN"/>
              </w:rPr>
            </w:pPr>
          </w:p>
          <w:p>
            <w:pPr>
              <w:pStyle w:val="7"/>
              <w:spacing w:line="360" w:lineRule="auto"/>
              <w:rPr>
                <w:rFonts w:hint="eastAsia"/>
                <w:color w:val="auto"/>
                <w:lang w:val="en-US" w:eastAsia="zh-CN"/>
              </w:rPr>
            </w:pPr>
          </w:p>
          <w:p>
            <w:pPr>
              <w:pStyle w:val="7"/>
              <w:spacing w:line="360" w:lineRule="auto"/>
              <w:rPr>
                <w:rFonts w:hint="eastAsia"/>
                <w:color w:val="auto"/>
                <w:lang w:val="en-US" w:eastAsia="zh-CN"/>
              </w:rPr>
            </w:pPr>
          </w:p>
          <w:p>
            <w:pPr>
              <w:spacing w:line="360" w:lineRule="auto"/>
              <w:ind w:firstLine="420" w:firstLineChars="200"/>
              <w:rPr>
                <w:color w:val="auto"/>
              </w:rPr>
            </w:pPr>
            <w:r>
              <w:rPr>
                <w:rFonts w:hint="eastAsia"/>
                <w:color w:val="auto"/>
              </w:rPr>
              <w:t>公司通过传真、邮件及电话等方式与顾客交流，主要进行以下沟通：</w:t>
            </w:r>
          </w:p>
          <w:p>
            <w:pPr>
              <w:spacing w:line="360" w:lineRule="auto"/>
              <w:rPr>
                <w:color w:val="auto"/>
              </w:rPr>
            </w:pPr>
            <w:r>
              <w:rPr>
                <w:color w:val="auto"/>
              </w:rPr>
              <w:t>1</w:t>
            </w:r>
            <w:r>
              <w:rPr>
                <w:rFonts w:hint="eastAsia"/>
                <w:color w:val="auto"/>
              </w:rPr>
              <w:t>、向顾客提供保证产品质量的有关信息，保修及应急措施。</w:t>
            </w:r>
          </w:p>
          <w:p>
            <w:pPr>
              <w:spacing w:line="360" w:lineRule="auto"/>
              <w:rPr>
                <w:color w:val="auto"/>
              </w:rPr>
            </w:pPr>
            <w:r>
              <w:rPr>
                <w:color w:val="auto"/>
              </w:rPr>
              <w:t>2</w:t>
            </w:r>
            <w:r>
              <w:rPr>
                <w:rFonts w:hint="eastAsia"/>
                <w:color w:val="auto"/>
              </w:rPr>
              <w:t>、接受顾客问询、询价、合同的处理。</w:t>
            </w:r>
          </w:p>
          <w:p>
            <w:pPr>
              <w:spacing w:line="360" w:lineRule="auto"/>
              <w:rPr>
                <w:color w:val="auto"/>
              </w:rPr>
            </w:pPr>
            <w:r>
              <w:rPr>
                <w:color w:val="auto"/>
              </w:rPr>
              <w:t>3</w:t>
            </w:r>
            <w:r>
              <w:rPr>
                <w:rFonts w:hint="eastAsia"/>
                <w:color w:val="auto"/>
              </w:rPr>
              <w:t>、根据合同要求进行有关的事宜，对顾客的投诉或意见进行处理和答复。</w:t>
            </w:r>
          </w:p>
          <w:p>
            <w:pPr>
              <w:spacing w:line="360" w:lineRule="auto"/>
              <w:rPr>
                <w:color w:val="auto"/>
              </w:rPr>
            </w:pPr>
            <w:r>
              <w:rPr>
                <w:color w:val="auto"/>
              </w:rPr>
              <w:t>4</w:t>
            </w:r>
            <w:r>
              <w:rPr>
                <w:rFonts w:hint="eastAsia"/>
                <w:color w:val="auto"/>
              </w:rPr>
              <w:t>、合理处理顾客财产，主要是顾客报修产品。</w:t>
            </w:r>
          </w:p>
          <w:p>
            <w:pPr>
              <w:spacing w:line="360" w:lineRule="auto"/>
              <w:rPr>
                <w:color w:val="auto"/>
              </w:rPr>
            </w:pPr>
            <w:r>
              <w:rPr>
                <w:rFonts w:hint="eastAsia"/>
                <w:color w:val="auto"/>
              </w:rPr>
              <w:t>目前沟通渠道畅通</w:t>
            </w:r>
          </w:p>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rPr>
              <w:t>目前无合同更改情况发生。</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rPr>
              <w:t>外部提供过程、产品和服务过程管理</w:t>
            </w:r>
          </w:p>
        </w:tc>
        <w:tc>
          <w:tcPr>
            <w:tcW w:w="998" w:type="dxa"/>
            <w:vAlign w:val="top"/>
          </w:tcPr>
          <w:p>
            <w:pPr>
              <w:spacing w:line="360" w:lineRule="auto"/>
              <w:rPr>
                <w:rFonts w:hint="eastAsia" w:ascii="Times New Roman" w:hAnsi="Times New Roman" w:eastAsia="宋体" w:cs="Times New Roman"/>
                <w:color w:val="auto"/>
                <w:kern w:val="2"/>
                <w:sz w:val="21"/>
                <w:lang w:val="en-US" w:eastAsia="zh-CN" w:bidi="ar-SA"/>
              </w:rPr>
            </w:pPr>
            <w:r>
              <w:rPr>
                <w:color w:val="auto"/>
              </w:rPr>
              <w:t>8.4</w:t>
            </w:r>
          </w:p>
        </w:tc>
        <w:tc>
          <w:tcPr>
            <w:tcW w:w="10004" w:type="dxa"/>
            <w:vAlign w:val="top"/>
          </w:tcPr>
          <w:p>
            <w:pPr>
              <w:spacing w:line="360" w:lineRule="auto"/>
              <w:ind w:firstLine="420" w:firstLineChars="200"/>
              <w:rPr>
                <w:color w:val="auto"/>
              </w:rPr>
            </w:pPr>
            <w:r>
              <w:rPr>
                <w:rFonts w:hint="eastAsia"/>
                <w:color w:val="auto"/>
              </w:rPr>
              <w:t>编制的《</w:t>
            </w:r>
            <w:r>
              <w:rPr>
                <w:rFonts w:hint="eastAsia"/>
                <w:color w:val="auto"/>
                <w:lang w:eastAsia="zh-CN"/>
              </w:rPr>
              <w:t>采购控制程序</w:t>
            </w:r>
            <w:r>
              <w:rPr>
                <w:rFonts w:hint="eastAsia"/>
                <w:color w:val="auto"/>
              </w:rPr>
              <w:t>》中，确定了对外部供方实施的具体控制要求，旨在确保产品能够按计划提供，并符合要求，为确保外部提供的过程、产品不会对企业稳定地向顾客提供合格的产品的能力产生不利影响。</w:t>
            </w:r>
          </w:p>
          <w:p>
            <w:pPr>
              <w:spacing w:line="360" w:lineRule="auto"/>
              <w:rPr>
                <w:color w:val="auto"/>
              </w:rPr>
            </w:pPr>
            <w:r>
              <w:rPr>
                <w:rFonts w:hint="eastAsia"/>
                <w:color w:val="auto"/>
              </w:rPr>
              <w:t>负责人讲，</w:t>
            </w:r>
            <w:r>
              <w:rPr>
                <w:rFonts w:hint="eastAsia"/>
                <w:color w:val="auto"/>
                <w:lang w:eastAsia="zh-CN"/>
              </w:rPr>
              <w:t>综合部</w:t>
            </w:r>
            <w:r>
              <w:rPr>
                <w:rFonts w:hint="eastAsia"/>
                <w:color w:val="auto"/>
              </w:rPr>
              <w:t>建立合格供方名录，核定《供方评价表》后，编制《合格供方名单》存档。采购人员应该具备相应能力。采购人员应从《合格供方名录》中选择供方。</w:t>
            </w:r>
          </w:p>
          <w:p>
            <w:pPr>
              <w:spacing w:line="360" w:lineRule="auto"/>
              <w:rPr>
                <w:color w:val="auto"/>
              </w:rPr>
            </w:pPr>
            <w:r>
              <w:rPr>
                <w:rFonts w:hint="eastAsia"/>
                <w:color w:val="auto"/>
              </w:rPr>
              <w:t>提供《合格供方名单》: 主要供应商</w:t>
            </w:r>
            <w:r>
              <w:rPr>
                <w:rFonts w:hint="eastAsia"/>
                <w:color w:val="auto"/>
                <w:lang w:val="en-US" w:eastAsia="zh-CN"/>
              </w:rPr>
              <w:t>1</w:t>
            </w:r>
            <w:r>
              <w:rPr>
                <w:rFonts w:hint="eastAsia"/>
                <w:color w:val="auto"/>
              </w:rPr>
              <w:t>家，如下：</w:t>
            </w:r>
          </w:p>
          <w:p>
            <w:pPr>
              <w:spacing w:line="360" w:lineRule="auto"/>
              <w:rPr>
                <w:rFonts w:hint="default"/>
                <w:color w:val="auto"/>
                <w:lang w:val="en-US" w:eastAsia="zh-CN"/>
              </w:rPr>
            </w:pPr>
            <w:r>
              <w:rPr>
                <w:rFonts w:hint="eastAsia"/>
                <w:color w:val="auto"/>
                <w:lang w:val="en-US" w:eastAsia="zh-CN"/>
              </w:rPr>
              <w:t>河南日立信股份有限公司   设备维修</w:t>
            </w:r>
          </w:p>
          <w:p>
            <w:pPr>
              <w:spacing w:line="360" w:lineRule="auto"/>
              <w:rPr>
                <w:rFonts w:hint="eastAsia"/>
                <w:color w:val="auto"/>
              </w:rPr>
            </w:pPr>
            <w:r>
              <w:rPr>
                <w:rFonts w:hint="eastAsia"/>
                <w:color w:val="auto"/>
              </w:rPr>
              <w:t>抽以上供方调查评价记录单：对供方资质、体系认证情况、生产能力和供应能力情况、历史及社会信誉情况、质量及以往使用情况等</w:t>
            </w:r>
          </w:p>
          <w:p>
            <w:pPr>
              <w:spacing w:line="360" w:lineRule="auto"/>
              <w:rPr>
                <w:color w:val="auto"/>
              </w:rPr>
            </w:pPr>
            <w:r>
              <w:rPr>
                <w:rFonts w:hint="eastAsia"/>
                <w:color w:val="auto"/>
              </w:rPr>
              <w:t>评定结论：同意</w:t>
            </w:r>
          </w:p>
          <w:p>
            <w:pPr>
              <w:spacing w:line="360" w:lineRule="auto"/>
              <w:rPr>
                <w:color w:val="auto"/>
                <w:szCs w:val="21"/>
              </w:rPr>
            </w:pPr>
            <w:r>
              <w:rPr>
                <w:rFonts w:hint="eastAsia"/>
                <w:color w:val="auto"/>
                <w:szCs w:val="21"/>
              </w:rPr>
              <w:t>批准：</w:t>
            </w:r>
            <w:r>
              <w:rPr>
                <w:rFonts w:hint="eastAsia"/>
                <w:color w:val="auto"/>
                <w:szCs w:val="21"/>
                <w:lang w:val="en-US" w:eastAsia="zh-CN"/>
              </w:rPr>
              <w:t>姬大庆</w:t>
            </w:r>
            <w:r>
              <w:rPr>
                <w:rFonts w:hint="eastAsia"/>
                <w:color w:val="auto"/>
                <w:szCs w:val="21"/>
              </w:rPr>
              <w:t xml:space="preserve">    日期：</w:t>
            </w:r>
            <w:r>
              <w:rPr>
                <w:rFonts w:hint="eastAsia"/>
                <w:color w:val="auto"/>
                <w:szCs w:val="21"/>
                <w:lang w:eastAsia="zh-CN"/>
              </w:rPr>
              <w:t>202</w:t>
            </w:r>
            <w:r>
              <w:rPr>
                <w:rFonts w:hint="eastAsia"/>
                <w:color w:val="auto"/>
                <w:szCs w:val="21"/>
                <w:lang w:val="en-US" w:eastAsia="zh-CN"/>
              </w:rPr>
              <w:t>1</w:t>
            </w:r>
            <w:r>
              <w:rPr>
                <w:rFonts w:hint="eastAsia"/>
                <w:color w:val="auto"/>
                <w:szCs w:val="21"/>
              </w:rPr>
              <w:t>.</w:t>
            </w:r>
            <w:r>
              <w:rPr>
                <w:rFonts w:hint="eastAsia"/>
                <w:color w:val="auto"/>
                <w:szCs w:val="21"/>
                <w:lang w:val="en-US" w:eastAsia="zh-CN"/>
              </w:rPr>
              <w:t>9</w:t>
            </w:r>
            <w:r>
              <w:rPr>
                <w:rFonts w:hint="eastAsia"/>
                <w:color w:val="auto"/>
                <w:szCs w:val="21"/>
              </w:rPr>
              <w:t>.12</w:t>
            </w:r>
          </w:p>
          <w:p>
            <w:pPr>
              <w:spacing w:line="360" w:lineRule="auto"/>
              <w:rPr>
                <w:rFonts w:ascii="宋体" w:hAnsi="宋体" w:cs="宋体"/>
                <w:color w:val="auto"/>
                <w:szCs w:val="21"/>
              </w:rPr>
            </w:pPr>
            <w:r>
              <w:rPr>
                <w:rFonts w:hint="eastAsia" w:ascii="宋体" w:hAnsi="宋体" w:cs="宋体"/>
                <w:color w:val="auto"/>
                <w:szCs w:val="21"/>
              </w:rPr>
              <w:t>--《供方评价表》</w:t>
            </w:r>
          </w:p>
          <w:p>
            <w:pPr>
              <w:spacing w:line="360" w:lineRule="auto"/>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月供方评价确认：</w:t>
            </w:r>
          </w:p>
          <w:p>
            <w:pPr>
              <w:spacing w:line="360" w:lineRule="auto"/>
              <w:rPr>
                <w:color w:val="auto"/>
              </w:rPr>
            </w:pPr>
            <w:r>
              <w:rPr>
                <w:rFonts w:hint="eastAsia"/>
                <w:color w:val="auto"/>
                <w:lang w:val="en-US" w:eastAsia="zh-CN"/>
              </w:rPr>
              <w:t>1河南日立信股份有限公司</w:t>
            </w:r>
            <w:r>
              <w:rPr>
                <w:rFonts w:hint="eastAsia" w:ascii="宋体" w:hAnsi="宋体" w:cs="宋体"/>
                <w:color w:val="auto"/>
                <w:szCs w:val="21"/>
              </w:rPr>
              <w:t>（供应：</w:t>
            </w:r>
            <w:r>
              <w:rPr>
                <w:rFonts w:hint="eastAsia"/>
                <w:color w:val="auto"/>
                <w:lang w:val="en-US" w:eastAsia="zh-CN"/>
              </w:rPr>
              <w:t>设备维修</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rPr>
              <w:t>公司组织各部门对该供方的资质、质量、价格、及时度、服务等进行了评价，有各部门评价人签字。调查评价：合格，同意列入合格供应商  评价人：</w:t>
            </w:r>
            <w:r>
              <w:rPr>
                <w:rFonts w:hint="eastAsia" w:ascii="宋体" w:hAnsi="宋体" w:cs="宋体"/>
                <w:color w:val="auto"/>
                <w:szCs w:val="21"/>
                <w:lang w:eastAsia="zh-CN"/>
              </w:rPr>
              <w:t>苏建荣</w:t>
            </w:r>
            <w:r>
              <w:rPr>
                <w:rFonts w:hint="eastAsia" w:ascii="宋体" w:hAnsi="宋体" w:cs="宋体"/>
                <w:color w:val="auto"/>
                <w:szCs w:val="21"/>
              </w:rPr>
              <w:t xml:space="preserve">   </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12</w:t>
            </w:r>
            <w:r>
              <w:rPr>
                <w:rFonts w:hint="eastAsia" w:ascii="宋体" w:hAnsi="宋体" w:cs="宋体"/>
                <w:color w:val="auto"/>
                <w:szCs w:val="21"/>
              </w:rPr>
              <w:t>日</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查，公司对</w:t>
            </w:r>
            <w:r>
              <w:rPr>
                <w:rFonts w:hint="eastAsia" w:ascii="宋体" w:hAnsi="宋体" w:cs="宋体"/>
                <w:color w:val="auto"/>
                <w:szCs w:val="21"/>
                <w:lang w:val="en-US" w:eastAsia="zh-CN"/>
              </w:rPr>
              <w:t>各</w:t>
            </w:r>
            <w:r>
              <w:rPr>
                <w:rFonts w:hint="eastAsia" w:ascii="宋体" w:hAnsi="宋体" w:cs="宋体"/>
                <w:color w:val="auto"/>
                <w:szCs w:val="21"/>
              </w:rPr>
              <w:t>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ascii="宋体" w:hAnsi="宋体" w:cs="宋体"/>
                <w:color w:val="auto"/>
                <w:szCs w:val="21"/>
              </w:rPr>
            </w:pPr>
            <w:r>
              <w:rPr>
                <w:rFonts w:hint="eastAsia" w:ascii="宋体" w:hAnsi="宋体" w:cs="宋体"/>
                <w:color w:val="auto"/>
                <w:szCs w:val="21"/>
              </w:rPr>
              <w:t>查，供方产品质量统计反馈情况：公司策划了采购产品的管理要求，质量反馈要求；</w:t>
            </w:r>
          </w:p>
          <w:p>
            <w:pPr>
              <w:spacing w:line="360" w:lineRule="auto"/>
              <w:rPr>
                <w:rFonts w:ascii="宋体" w:hAnsi="宋体" w:cs="宋体"/>
                <w:color w:val="auto"/>
                <w:szCs w:val="21"/>
              </w:rPr>
            </w:pPr>
            <w:r>
              <w:rPr>
                <w:rFonts w:hint="eastAsia" w:ascii="宋体" w:hAnsi="宋体" w:cs="宋体"/>
                <w:color w:val="auto"/>
                <w:szCs w:val="21"/>
              </w:rPr>
              <w:t>查公司采购不合格情况</w:t>
            </w:r>
          </w:p>
          <w:p>
            <w:pPr>
              <w:spacing w:line="360" w:lineRule="auto"/>
              <w:rPr>
                <w:rFonts w:ascii="宋体" w:hAnsi="宋体" w:cs="宋体"/>
                <w:color w:val="auto"/>
                <w:szCs w:val="21"/>
              </w:rPr>
            </w:pPr>
            <w:r>
              <w:rPr>
                <w:rFonts w:hint="eastAsia" w:ascii="宋体" w:hAnsi="宋体" w:cs="宋体"/>
                <w:color w:val="auto"/>
                <w:szCs w:val="21"/>
              </w:rPr>
              <w:t>负责人讲</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月以来，未出现有质量不符合的情况。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公司编制了《</w:t>
            </w:r>
            <w:r>
              <w:rPr>
                <w:rFonts w:hint="eastAsia"/>
                <w:color w:val="auto"/>
                <w:lang w:eastAsia="zh-CN"/>
              </w:rPr>
              <w:t>采购控制程序</w:t>
            </w:r>
            <w:r>
              <w:rPr>
                <w:rFonts w:hint="eastAsia" w:ascii="宋体" w:hAnsi="宋体" w:cs="宋体"/>
                <w:color w:val="auto"/>
                <w:szCs w:val="21"/>
              </w:rPr>
              <w:t>》，要求采购的材料必须进行检验。</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公司对</w:t>
            </w:r>
            <w:r>
              <w:rPr>
                <w:rFonts w:hint="eastAsia" w:ascii="宋体" w:hAnsi="宋体" w:cs="宋体"/>
                <w:color w:val="auto"/>
                <w:szCs w:val="21"/>
                <w:lang w:val="en-US" w:eastAsia="zh-CN"/>
              </w:rPr>
              <w:t>六氟化硫回收净化车维修质量</w:t>
            </w:r>
            <w:r>
              <w:rPr>
                <w:rFonts w:hint="eastAsia" w:ascii="宋体" w:hAnsi="宋体" w:cs="宋体"/>
                <w:color w:val="auto"/>
                <w:szCs w:val="21"/>
              </w:rPr>
              <w:t>等进行了验收。</w:t>
            </w:r>
            <w:r>
              <w:rPr>
                <w:rFonts w:hint="eastAsia" w:ascii="宋体" w:hAnsi="宋体" w:cs="宋体"/>
                <w:color w:val="auto"/>
                <w:szCs w:val="21"/>
                <w:lang w:val="en-US" w:eastAsia="zh-CN"/>
              </w:rPr>
              <w:t>查看了《测试报告》包括了：六氟化硫钢瓶加热称重装置：电气控制回路试验；六氟化硫气体回收装置：抽真空及真空度保持试验、回收气体速度试验；充气回收速度。</w:t>
            </w:r>
          </w:p>
          <w:p>
            <w:pPr>
              <w:spacing w:line="360" w:lineRule="auto"/>
              <w:ind w:firstLine="420" w:firstLineChars="200"/>
              <w:rPr>
                <w:rFonts w:ascii="宋体" w:hAnsi="宋体" w:cs="宋体"/>
                <w:color w:val="auto"/>
                <w:szCs w:val="21"/>
              </w:rPr>
            </w:pPr>
            <w:r>
              <w:rPr>
                <w:rFonts w:hint="eastAsia" w:ascii="宋体" w:hAnsi="宋体" w:cs="宋体"/>
                <w:color w:val="auto"/>
                <w:szCs w:val="21"/>
              </w:rPr>
              <w:t>基本符合要求。</w:t>
            </w:r>
          </w:p>
          <w:p>
            <w:pPr>
              <w:spacing w:line="360" w:lineRule="auto"/>
              <w:rPr>
                <w:color w:val="auto"/>
              </w:rPr>
            </w:pPr>
            <w:r>
              <w:rPr>
                <w:rFonts w:hint="eastAsia" w:ascii="宋体" w:hAnsi="宋体" w:cs="宋体"/>
                <w:color w:val="auto"/>
                <w:szCs w:val="21"/>
              </w:rPr>
              <w:t>公司外部供方的管理基本符合要求。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负责人讲与供方沟通的内容包括：所提供的过程、产品和服务等；</w:t>
            </w:r>
          </w:p>
          <w:p>
            <w:pPr>
              <w:spacing w:line="360" w:lineRule="auto"/>
              <w:rPr>
                <w:rFonts w:hint="default" w:eastAsia="宋体"/>
                <w:color w:val="auto"/>
                <w:lang w:val="en-US" w:eastAsia="zh-CN"/>
              </w:rPr>
            </w:pPr>
            <w:r>
              <w:rPr>
                <w:rFonts w:hint="eastAsia"/>
                <w:color w:val="auto"/>
              </w:rPr>
              <w:t>抽</w:t>
            </w:r>
            <w:r>
              <w:rPr>
                <w:rFonts w:hint="eastAsia"/>
                <w:color w:val="auto"/>
                <w:lang w:val="en-US" w:eastAsia="zh-CN"/>
              </w:rPr>
              <w:t>六氟化硫回收车</w:t>
            </w:r>
            <w:r>
              <w:rPr>
                <w:rFonts w:hint="eastAsia"/>
                <w:color w:val="auto"/>
                <w:lang w:eastAsia="zh-CN"/>
              </w:rPr>
              <w:t>《</w:t>
            </w:r>
            <w:r>
              <w:rPr>
                <w:rFonts w:hint="eastAsia"/>
                <w:color w:val="auto"/>
                <w:lang w:val="en-US" w:eastAsia="zh-CN"/>
              </w:rPr>
              <w:t>采购合同</w:t>
            </w:r>
            <w:r>
              <w:rPr>
                <w:rFonts w:hint="eastAsia"/>
                <w:color w:val="auto"/>
                <w:lang w:eastAsia="zh-CN"/>
              </w:rPr>
              <w:t>》</w:t>
            </w:r>
            <w:r>
              <w:rPr>
                <w:rFonts w:hint="eastAsia"/>
                <w:color w:val="auto"/>
                <w:lang w:val="en-US" w:eastAsia="zh-CN"/>
              </w:rPr>
              <w:t>:供方：河南日立信股份有限公司；K600 3人座钢瓦楞厢车《汽车买卖合同》，</w:t>
            </w:r>
            <w:r>
              <w:rPr>
                <w:rFonts w:hint="eastAsia"/>
                <w:color w:val="auto"/>
                <w:szCs w:val="21"/>
                <w:lang w:val="en-US" w:eastAsia="zh-CN"/>
              </w:rPr>
              <w:drawing>
                <wp:anchor distT="0" distB="0" distL="114300" distR="114300" simplePos="0" relativeHeight="251665408" behindDoc="0" locked="0" layoutInCell="1" allowOverlap="1">
                  <wp:simplePos x="0" y="0"/>
                  <wp:positionH relativeFrom="column">
                    <wp:posOffset>2584450</wp:posOffset>
                  </wp:positionH>
                  <wp:positionV relativeFrom="paragraph">
                    <wp:posOffset>278130</wp:posOffset>
                  </wp:positionV>
                  <wp:extent cx="1847850" cy="2647315"/>
                  <wp:effectExtent l="0" t="0" r="6350" b="6985"/>
                  <wp:wrapNone/>
                  <wp:docPr id="14" name="图片 14" descr="daf646b350c80b736777f31f5d416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af646b350c80b736777f31f5d4169c"/>
                          <pic:cNvPicPr>
                            <a:picLocks noChangeAspect="1"/>
                          </pic:cNvPicPr>
                        </pic:nvPicPr>
                        <pic:blipFill>
                          <a:blip r:embed="rId9"/>
                          <a:stretch>
                            <a:fillRect/>
                          </a:stretch>
                        </pic:blipFill>
                        <pic:spPr>
                          <a:xfrm>
                            <a:off x="0" y="0"/>
                            <a:ext cx="1847850" cy="2647315"/>
                          </a:xfrm>
                          <a:prstGeom prst="rect">
                            <a:avLst/>
                          </a:prstGeom>
                        </pic:spPr>
                      </pic:pic>
                    </a:graphicData>
                  </a:graphic>
                </wp:anchor>
              </w:drawing>
            </w:r>
            <w:r>
              <w:rPr>
                <w:rFonts w:hint="eastAsia"/>
                <w:color w:val="auto"/>
                <w:szCs w:val="21"/>
                <w:lang w:val="en-US" w:eastAsia="zh-CN"/>
              </w:rPr>
              <w:drawing>
                <wp:anchor distT="0" distB="0" distL="114300" distR="114300" simplePos="0" relativeHeight="251664384" behindDoc="0" locked="0" layoutInCell="1" allowOverlap="1">
                  <wp:simplePos x="0" y="0"/>
                  <wp:positionH relativeFrom="column">
                    <wp:posOffset>419100</wp:posOffset>
                  </wp:positionH>
                  <wp:positionV relativeFrom="paragraph">
                    <wp:posOffset>280670</wp:posOffset>
                  </wp:positionV>
                  <wp:extent cx="1862455" cy="2647950"/>
                  <wp:effectExtent l="0" t="0" r="4445" b="6350"/>
                  <wp:wrapNone/>
                  <wp:docPr id="13" name="图片 13" descr="2c371689d0c09fae6fb10a83299b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c371689d0c09fae6fb10a83299b537"/>
                          <pic:cNvPicPr>
                            <a:picLocks noChangeAspect="1"/>
                          </pic:cNvPicPr>
                        </pic:nvPicPr>
                        <pic:blipFill>
                          <a:blip r:embed="rId10"/>
                          <a:stretch>
                            <a:fillRect/>
                          </a:stretch>
                        </pic:blipFill>
                        <pic:spPr>
                          <a:xfrm>
                            <a:off x="0" y="0"/>
                            <a:ext cx="1862455" cy="2647950"/>
                          </a:xfrm>
                          <a:prstGeom prst="rect">
                            <a:avLst/>
                          </a:prstGeom>
                        </pic:spPr>
                      </pic:pic>
                    </a:graphicData>
                  </a:graphic>
                </wp:anchor>
              </w:drawing>
            </w:r>
            <w:r>
              <w:rPr>
                <w:rFonts w:hint="eastAsia"/>
                <w:color w:val="auto"/>
                <w:lang w:val="en-US" w:eastAsia="zh-CN"/>
              </w:rPr>
              <w:t>供方：陕西弘毅实业有限公司。</w:t>
            </w:r>
          </w:p>
          <w:p>
            <w:pPr>
              <w:spacing w:line="360" w:lineRule="auto"/>
              <w:rPr>
                <w:rFonts w:hint="eastAsia"/>
                <w:color w:val="auto"/>
                <w:szCs w:val="21"/>
                <w:lang w:val="en-US" w:eastAsia="zh-CN"/>
              </w:rPr>
            </w:pPr>
          </w:p>
          <w:p>
            <w:pPr>
              <w:spacing w:line="360" w:lineRule="auto"/>
              <w:rPr>
                <w:rFonts w:hint="eastAsia"/>
                <w:color w:val="auto"/>
                <w:szCs w:val="21"/>
                <w:lang w:val="en-US" w:eastAsia="zh-CN"/>
              </w:rPr>
            </w:pPr>
          </w:p>
          <w:p>
            <w:pPr>
              <w:pStyle w:val="21"/>
              <w:spacing w:line="360" w:lineRule="auto"/>
              <w:rPr>
                <w:rFonts w:hint="eastAsia"/>
                <w:color w:val="auto"/>
                <w:szCs w:val="21"/>
                <w:lang w:val="en-US" w:eastAsia="zh-CN"/>
              </w:rPr>
            </w:pPr>
          </w:p>
          <w:p>
            <w:pPr>
              <w:pStyle w:val="21"/>
              <w:spacing w:line="360" w:lineRule="auto"/>
              <w:rPr>
                <w:rFonts w:hint="eastAsia"/>
                <w:color w:val="auto"/>
                <w:szCs w:val="21"/>
                <w:lang w:val="en-US" w:eastAsia="zh-CN"/>
              </w:rPr>
            </w:pPr>
          </w:p>
          <w:p>
            <w:pPr>
              <w:pStyle w:val="21"/>
              <w:spacing w:line="360" w:lineRule="auto"/>
              <w:rPr>
                <w:rFonts w:hint="eastAsia"/>
                <w:color w:val="auto"/>
                <w:szCs w:val="21"/>
                <w:lang w:val="en-US" w:eastAsia="zh-CN"/>
              </w:rPr>
            </w:pPr>
          </w:p>
          <w:p>
            <w:pPr>
              <w:spacing w:line="360" w:lineRule="auto"/>
              <w:rPr>
                <w:rFonts w:hint="eastAsia"/>
                <w:color w:val="auto"/>
                <w:szCs w:val="21"/>
                <w:lang w:val="en-US" w:eastAsia="zh-CN"/>
              </w:rPr>
            </w:pPr>
          </w:p>
          <w:p>
            <w:pPr>
              <w:spacing w:line="360" w:lineRule="auto"/>
              <w:rPr>
                <w:rFonts w:hint="eastAsia"/>
                <w:color w:val="auto"/>
                <w:szCs w:val="21"/>
                <w:lang w:val="en-US" w:eastAsia="zh-CN"/>
              </w:rPr>
            </w:pPr>
          </w:p>
          <w:p>
            <w:pPr>
              <w:spacing w:line="360" w:lineRule="auto"/>
              <w:rPr>
                <w:rFonts w:hint="eastAsia"/>
                <w:color w:val="auto"/>
                <w:szCs w:val="21"/>
                <w:lang w:val="en-US" w:eastAsia="zh-CN"/>
              </w:rPr>
            </w:pPr>
          </w:p>
          <w:p>
            <w:pPr>
              <w:spacing w:line="360" w:lineRule="auto"/>
              <w:rPr>
                <w:rFonts w:hint="eastAsia" w:ascii="Times New Roman" w:hAnsi="Times New Roman" w:eastAsia="宋体" w:cs="Times New Roman"/>
                <w:color w:val="auto"/>
                <w:kern w:val="2"/>
                <w:sz w:val="21"/>
                <w:lang w:val="en-US" w:eastAsia="zh-CN" w:bidi="ar-SA"/>
              </w:rPr>
            </w:pP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rPr>
              <w:t>顾客满意度调查</w:t>
            </w:r>
          </w:p>
        </w:tc>
        <w:tc>
          <w:tcPr>
            <w:tcW w:w="998"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lang w:val="en-US" w:eastAsia="zh-CN"/>
              </w:rPr>
              <w:t>Q</w:t>
            </w:r>
            <w:r>
              <w:t>9.1.2</w:t>
            </w:r>
          </w:p>
        </w:tc>
        <w:tc>
          <w:tcPr>
            <w:tcW w:w="10004" w:type="dxa"/>
            <w:vAlign w:val="top"/>
          </w:tcPr>
          <w:p>
            <w:pPr>
              <w:spacing w:line="360" w:lineRule="auto"/>
              <w:ind w:firstLine="420" w:firstLineChars="200"/>
              <w:jc w:val="left"/>
              <w:rPr>
                <w:rFonts w:hint="eastAsia" w:ascii="Times New Roman" w:hAnsi="Times New Roman" w:eastAsia="宋体" w:cs="Times New Roman"/>
                <w:kern w:val="2"/>
                <w:sz w:val="21"/>
                <w:lang w:val="en-US" w:eastAsia="zh-CN" w:bidi="ar-SA"/>
              </w:rPr>
            </w:pPr>
            <w:r>
              <w:rPr>
                <w:rFonts w:hint="eastAsia"/>
              </w:rPr>
              <w:t>企业对顾客对产品是否满意的信息进行监视，并编制《顾客满意度调查表》。公司于</w:t>
            </w:r>
            <w:r>
              <w:rPr>
                <w:rFonts w:hint="eastAsia"/>
                <w:lang w:eastAsia="zh-CN"/>
              </w:rPr>
              <w:t>202</w:t>
            </w:r>
            <w:r>
              <w:rPr>
                <w:rFonts w:hint="eastAsia"/>
                <w:lang w:val="en-US" w:eastAsia="zh-CN"/>
              </w:rPr>
              <w:t>1</w:t>
            </w:r>
            <w:r>
              <w:rPr>
                <w:rFonts w:hint="eastAsia"/>
              </w:rPr>
              <w:t>年</w:t>
            </w:r>
            <w:r>
              <w:rPr>
                <w:rFonts w:hint="eastAsia"/>
                <w:lang w:val="en-US" w:eastAsia="zh-CN"/>
              </w:rPr>
              <w:t>9</w:t>
            </w:r>
            <w:r>
              <w:rPr>
                <w:rFonts w:hint="eastAsia"/>
              </w:rPr>
              <w:t>月</w:t>
            </w:r>
            <w:r>
              <w:rPr>
                <w:rFonts w:hint="eastAsia"/>
                <w:lang w:val="en-US" w:eastAsia="zh-CN"/>
              </w:rPr>
              <w:t>-11月</w:t>
            </w:r>
            <w:r>
              <w:rPr>
                <w:rFonts w:hint="eastAsia"/>
              </w:rPr>
              <w:t>对主要客户西安西开电力装备智慧服务有限公司进行了电话问卷调查，分别对产品质量、服务、交货期方面等内容进行调查，客户均对相关内容进行了反馈，从统计数据中可以看出，</w:t>
            </w:r>
            <w:r>
              <w:rPr>
                <w:rFonts w:hint="eastAsia" w:ascii="宋体" w:hAnsi="宋体"/>
                <w:szCs w:val="21"/>
              </w:rPr>
              <w:t>发放调查表共</w:t>
            </w:r>
            <w:r>
              <w:rPr>
                <w:rFonts w:hint="eastAsia" w:ascii="宋体" w:hAnsi="宋体"/>
                <w:szCs w:val="21"/>
                <w:lang w:val="en-US" w:eastAsia="zh-CN"/>
              </w:rPr>
              <w:t>3</w:t>
            </w:r>
            <w:r>
              <w:rPr>
                <w:rFonts w:hint="eastAsia" w:ascii="宋体" w:hAnsi="宋体"/>
                <w:szCs w:val="21"/>
              </w:rPr>
              <w:t>份，回收调查表共</w:t>
            </w:r>
            <w:r>
              <w:rPr>
                <w:rFonts w:hint="eastAsia" w:ascii="宋体" w:hAnsi="宋体"/>
                <w:szCs w:val="21"/>
                <w:lang w:val="en-US" w:eastAsia="zh-CN"/>
              </w:rPr>
              <w:t>3</w:t>
            </w:r>
            <w:r>
              <w:rPr>
                <w:rFonts w:hint="eastAsia" w:ascii="宋体" w:hAnsi="宋体"/>
                <w:szCs w:val="21"/>
              </w:rPr>
              <w:t>份</w:t>
            </w:r>
            <w:r>
              <w:rPr>
                <w:rFonts w:hint="eastAsia" w:ascii="仿宋_GB2312" w:eastAsia="仿宋_GB2312"/>
                <w:sz w:val="24"/>
              </w:rPr>
              <w:t>。</w:t>
            </w:r>
            <w:r>
              <w:rPr>
                <w:rFonts w:hint="eastAsia"/>
              </w:rPr>
              <w:t>顾客满意度达到</w:t>
            </w:r>
            <w:r>
              <w:rPr>
                <w:rFonts w:hint="eastAsia"/>
                <w:lang w:val="en-US" w:eastAsia="zh-CN"/>
              </w:rPr>
              <w:t>96</w:t>
            </w:r>
            <w:r>
              <w:t>%</w:t>
            </w:r>
            <w:r>
              <w:rPr>
                <w:rFonts w:hint="eastAsia"/>
              </w:rPr>
              <w:t>，超过了质量目标要求，目标完成。从各分项看，说明我公司还有不完善的地方，如：价格等方面，我公司一定会在以后的工作中节约成本，尽量降低价格，使顾客更加满意。</w:t>
            </w:r>
          </w:p>
        </w:tc>
        <w:tc>
          <w:tcPr>
            <w:tcW w:w="1585"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环境因素识别及控制措施</w:t>
            </w:r>
          </w:p>
        </w:tc>
        <w:tc>
          <w:tcPr>
            <w:tcW w:w="998" w:type="dxa"/>
            <w:vAlign w:val="top"/>
          </w:tcPr>
          <w:p>
            <w:pPr>
              <w:spacing w:line="360" w:lineRule="auto"/>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E:6.1.2/6.1.4</w:t>
            </w:r>
          </w:p>
        </w:tc>
        <w:tc>
          <w:tcPr>
            <w:tcW w:w="10004" w:type="dxa"/>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环境因素识别和评价控制程序</w:t>
            </w:r>
            <w:r>
              <w:rPr>
                <w:rFonts w:hint="eastAsia" w:ascii="宋体" w:hAnsi="宋体" w:cs="宋体"/>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提供《环境因素识别排查表》识别了办公区、综合部、</w:t>
            </w:r>
            <w:r>
              <w:rPr>
                <w:rFonts w:hint="eastAsia" w:ascii="宋体" w:hAnsi="宋体" w:cs="宋体"/>
                <w:szCs w:val="21"/>
                <w:lang w:eastAsia="zh-CN"/>
              </w:rPr>
              <w:t>六氟化硫净化服务</w:t>
            </w:r>
            <w:r>
              <w:rPr>
                <w:rFonts w:hint="eastAsia" w:ascii="宋体" w:hAnsi="宋体" w:cs="宋体"/>
                <w:szCs w:val="21"/>
              </w:rPr>
              <w:t>过程</w:t>
            </w:r>
            <w:r>
              <w:rPr>
                <w:rFonts w:hint="eastAsia" w:ascii="宋体" w:hAnsi="宋体" w:cs="宋体"/>
                <w:szCs w:val="21"/>
                <w:lang w:val="en-US" w:eastAsia="zh-CN"/>
              </w:rPr>
              <w:t>等环境因素包括：水的消耗、电的消耗、办公用</w:t>
            </w:r>
            <w:r>
              <w:rPr>
                <w:rFonts w:hint="eastAsia" w:ascii="宋体" w:hAnsi="宋体" w:eastAsia="宋体" w:cs="宋体"/>
                <w:szCs w:val="21"/>
                <w:lang w:val="en-US" w:eastAsia="zh-CN"/>
              </w:rPr>
              <w:t>品的消耗、汽车尾气的排放、</w:t>
            </w:r>
            <w:r>
              <w:rPr>
                <w:rFonts w:hint="eastAsia" w:ascii="宋体" w:hAnsi="宋体" w:cs="宋体"/>
                <w:szCs w:val="21"/>
                <w:lang w:val="en-US" w:eastAsia="zh-CN"/>
              </w:rPr>
              <w:t>生活垃圾的排放、纸箱、包装物的废弃物、电灯产生的废弃物、</w:t>
            </w:r>
            <w:r>
              <w:rPr>
                <w:rFonts w:hint="eastAsia" w:ascii="宋体" w:hAnsi="宋体" w:eastAsia="宋体" w:cs="宋体"/>
                <w:szCs w:val="21"/>
                <w:lang w:val="en-US" w:eastAsia="zh-CN"/>
              </w:rPr>
              <w:t>、噪声的排放、火灾的发生、六氟化硫泄漏</w:t>
            </w:r>
            <w:r>
              <w:rPr>
                <w:rFonts w:hint="eastAsia" w:ascii="宋体" w:hAnsi="宋体" w:cs="宋体"/>
                <w:szCs w:val="21"/>
                <w:lang w:val="en-US" w:eastAsia="zh-CN"/>
              </w:rPr>
              <w:t>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提供《重要环境因素清</w:t>
            </w:r>
            <w:r>
              <w:rPr>
                <w:rFonts w:hint="eastAsia" w:ascii="宋体" w:hAnsi="宋体" w:eastAsia="宋体" w:cs="宋体"/>
                <w:szCs w:val="21"/>
                <w:lang w:val="en-US" w:eastAsia="zh-CN"/>
              </w:rPr>
              <w:t>单》</w:t>
            </w:r>
            <w:r>
              <w:rPr>
                <w:rFonts w:hint="eastAsia" w:ascii="宋体" w:hAnsi="宋体" w:cs="宋体"/>
                <w:szCs w:val="21"/>
                <w:lang w:val="en-US" w:eastAsia="zh-CN"/>
              </w:rPr>
              <w:t>4</w:t>
            </w:r>
            <w:r>
              <w:rPr>
                <w:rFonts w:hint="eastAsia" w:ascii="宋体" w:hAnsi="宋体" w:eastAsia="宋体" w:cs="宋体"/>
                <w:szCs w:val="21"/>
                <w:lang w:val="en-US" w:eastAsia="zh-CN"/>
              </w:rPr>
              <w:t>项，包括固废排放固废物排放、噪声的排放、火灾的发生、六氟化硫泄漏</w:t>
            </w:r>
            <w:r>
              <w:rPr>
                <w:rFonts w:hint="eastAsia" w:ascii="宋体" w:hAnsi="宋体" w:cs="宋体"/>
                <w:szCs w:val="21"/>
                <w:lang w:val="en-US" w:eastAsia="zh-CN"/>
              </w:rPr>
              <w:t>。</w:t>
            </w:r>
          </w:p>
          <w:p>
            <w:pPr>
              <w:pStyle w:val="21"/>
              <w:spacing w:line="360" w:lineRule="auto"/>
              <w:rPr>
                <w:rFonts w:hint="eastAsia" w:ascii="宋体" w:hAnsi="宋体" w:eastAsia="宋体" w:cs="宋体"/>
                <w:bCs/>
                <w:spacing w:val="1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以上重要环境因素清单中制定了针对性控制措施，措施基本有效。</w:t>
            </w:r>
          </w:p>
        </w:tc>
        <w:tc>
          <w:tcPr>
            <w:tcW w:w="1585"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spacing w:line="360" w:lineRule="auto"/>
              <w:rPr>
                <w:rFonts w:hint="eastAsia"/>
              </w:rPr>
            </w:pPr>
            <w:r>
              <w:rPr>
                <w:rFonts w:hint="eastAsia"/>
                <w:lang w:val="en-US" w:eastAsia="zh-CN"/>
              </w:rPr>
              <w:t>备注：</w:t>
            </w:r>
          </w:p>
        </w:tc>
      </w:tr>
    </w:tbl>
    <w:p>
      <w:r>
        <w:ptab w:relativeTo="margin" w:alignment="center" w:leader="none"/>
      </w:r>
    </w:p>
    <w:p>
      <w:pPr>
        <w:pStyle w:val="9"/>
      </w:pPr>
      <w:r>
        <w:rPr>
          <w:rFonts w:hint="eastAsia"/>
        </w:rPr>
        <w:t>说明：不符合标注N</w:t>
      </w:r>
    </w:p>
    <w:p>
      <w:pPr>
        <w:pStyle w:val="9"/>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0" name="文本框 10"/>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JwrWiDCAQAAeQ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832CA"/>
    <w:rsid w:val="00497971"/>
    <w:rsid w:val="004B20B2"/>
    <w:rsid w:val="004B4B24"/>
    <w:rsid w:val="004D14C1"/>
    <w:rsid w:val="004D6FC5"/>
    <w:rsid w:val="004E6448"/>
    <w:rsid w:val="004E7665"/>
    <w:rsid w:val="004E7D7E"/>
    <w:rsid w:val="004F043D"/>
    <w:rsid w:val="004F4E79"/>
    <w:rsid w:val="00503F34"/>
    <w:rsid w:val="005074C4"/>
    <w:rsid w:val="00507E17"/>
    <w:rsid w:val="00516205"/>
    <w:rsid w:val="00532DE5"/>
    <w:rsid w:val="00551E35"/>
    <w:rsid w:val="0056074B"/>
    <w:rsid w:val="00567182"/>
    <w:rsid w:val="005676DC"/>
    <w:rsid w:val="005A2330"/>
    <w:rsid w:val="005A23B2"/>
    <w:rsid w:val="005B6C34"/>
    <w:rsid w:val="005D2531"/>
    <w:rsid w:val="005F04E5"/>
    <w:rsid w:val="00621578"/>
    <w:rsid w:val="00621EA2"/>
    <w:rsid w:val="006256EF"/>
    <w:rsid w:val="00646303"/>
    <w:rsid w:val="0066353B"/>
    <w:rsid w:val="00663A52"/>
    <w:rsid w:val="00665E60"/>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97BA7"/>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11D5E"/>
    <w:rsid w:val="0092791F"/>
    <w:rsid w:val="00954D65"/>
    <w:rsid w:val="00955C0E"/>
    <w:rsid w:val="00976860"/>
    <w:rsid w:val="00991AEB"/>
    <w:rsid w:val="00992529"/>
    <w:rsid w:val="009977CF"/>
    <w:rsid w:val="009B1072"/>
    <w:rsid w:val="00A01526"/>
    <w:rsid w:val="00A23D1B"/>
    <w:rsid w:val="00A30F85"/>
    <w:rsid w:val="00A52229"/>
    <w:rsid w:val="00A76F84"/>
    <w:rsid w:val="00A86196"/>
    <w:rsid w:val="00A94706"/>
    <w:rsid w:val="00AB5CFD"/>
    <w:rsid w:val="00AE6698"/>
    <w:rsid w:val="00B007F3"/>
    <w:rsid w:val="00B03AA7"/>
    <w:rsid w:val="00B119B7"/>
    <w:rsid w:val="00B361C1"/>
    <w:rsid w:val="00B531A8"/>
    <w:rsid w:val="00B53B05"/>
    <w:rsid w:val="00B6239E"/>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080"/>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1F3"/>
    <w:rsid w:val="00FF0A51"/>
    <w:rsid w:val="00FF1D21"/>
    <w:rsid w:val="00FF5E6D"/>
    <w:rsid w:val="020129FE"/>
    <w:rsid w:val="021522E9"/>
    <w:rsid w:val="032B7C93"/>
    <w:rsid w:val="047D4E9D"/>
    <w:rsid w:val="04B03A25"/>
    <w:rsid w:val="0543480D"/>
    <w:rsid w:val="056D41CE"/>
    <w:rsid w:val="085B3B1D"/>
    <w:rsid w:val="0A755CD1"/>
    <w:rsid w:val="0B5E05CB"/>
    <w:rsid w:val="0C625E1B"/>
    <w:rsid w:val="0DE3632D"/>
    <w:rsid w:val="0EC6526F"/>
    <w:rsid w:val="0F046FDD"/>
    <w:rsid w:val="0F0C3EED"/>
    <w:rsid w:val="108654B0"/>
    <w:rsid w:val="10CC15C0"/>
    <w:rsid w:val="1109680C"/>
    <w:rsid w:val="113D29BF"/>
    <w:rsid w:val="116E4D89"/>
    <w:rsid w:val="11B844E6"/>
    <w:rsid w:val="129057E6"/>
    <w:rsid w:val="12FD2E93"/>
    <w:rsid w:val="158C17BA"/>
    <w:rsid w:val="158E45BA"/>
    <w:rsid w:val="163E2E11"/>
    <w:rsid w:val="18BB651D"/>
    <w:rsid w:val="19FD5E4A"/>
    <w:rsid w:val="1A822FA7"/>
    <w:rsid w:val="1B3936B3"/>
    <w:rsid w:val="1BE846E9"/>
    <w:rsid w:val="1C6C23EB"/>
    <w:rsid w:val="1DC40F3E"/>
    <w:rsid w:val="1E17525C"/>
    <w:rsid w:val="1EC7308C"/>
    <w:rsid w:val="1EED5939"/>
    <w:rsid w:val="20FD356C"/>
    <w:rsid w:val="227B4D7D"/>
    <w:rsid w:val="22E81A15"/>
    <w:rsid w:val="24EE4865"/>
    <w:rsid w:val="257A46A2"/>
    <w:rsid w:val="26EB66E8"/>
    <w:rsid w:val="2B4A3852"/>
    <w:rsid w:val="2B844FB6"/>
    <w:rsid w:val="2EBF1259"/>
    <w:rsid w:val="31512C92"/>
    <w:rsid w:val="315A769F"/>
    <w:rsid w:val="327D62BB"/>
    <w:rsid w:val="328D0D90"/>
    <w:rsid w:val="332F6E2E"/>
    <w:rsid w:val="35655683"/>
    <w:rsid w:val="36106290"/>
    <w:rsid w:val="36405F7D"/>
    <w:rsid w:val="366131A6"/>
    <w:rsid w:val="36BE5965"/>
    <w:rsid w:val="37E42671"/>
    <w:rsid w:val="38B77B12"/>
    <w:rsid w:val="38CE76F2"/>
    <w:rsid w:val="38E10073"/>
    <w:rsid w:val="38E44796"/>
    <w:rsid w:val="391D226E"/>
    <w:rsid w:val="395F4350"/>
    <w:rsid w:val="39730417"/>
    <w:rsid w:val="39DF646A"/>
    <w:rsid w:val="3A106389"/>
    <w:rsid w:val="3C0D7E40"/>
    <w:rsid w:val="3C902B6C"/>
    <w:rsid w:val="3E676E01"/>
    <w:rsid w:val="3ED56DC4"/>
    <w:rsid w:val="3F1E1F7C"/>
    <w:rsid w:val="3FB6534A"/>
    <w:rsid w:val="4074648A"/>
    <w:rsid w:val="418C5867"/>
    <w:rsid w:val="42684491"/>
    <w:rsid w:val="45060F3E"/>
    <w:rsid w:val="45774DEB"/>
    <w:rsid w:val="468E37F1"/>
    <w:rsid w:val="46C2478C"/>
    <w:rsid w:val="47432516"/>
    <w:rsid w:val="47630857"/>
    <w:rsid w:val="47AB2FC0"/>
    <w:rsid w:val="47D469F7"/>
    <w:rsid w:val="48012986"/>
    <w:rsid w:val="4819662E"/>
    <w:rsid w:val="4913714F"/>
    <w:rsid w:val="4922704D"/>
    <w:rsid w:val="4A95487A"/>
    <w:rsid w:val="4AD35544"/>
    <w:rsid w:val="4B8464B4"/>
    <w:rsid w:val="4C7E4A49"/>
    <w:rsid w:val="4DED56EF"/>
    <w:rsid w:val="4EF0704D"/>
    <w:rsid w:val="4F3B0425"/>
    <w:rsid w:val="4FD138C7"/>
    <w:rsid w:val="509803C8"/>
    <w:rsid w:val="51816C5F"/>
    <w:rsid w:val="528C65B7"/>
    <w:rsid w:val="541C54DC"/>
    <w:rsid w:val="548F1EFF"/>
    <w:rsid w:val="5493123C"/>
    <w:rsid w:val="576C677A"/>
    <w:rsid w:val="5827195E"/>
    <w:rsid w:val="59C77C52"/>
    <w:rsid w:val="5B9B762E"/>
    <w:rsid w:val="5E8414C5"/>
    <w:rsid w:val="5FD41360"/>
    <w:rsid w:val="62E8549C"/>
    <w:rsid w:val="639A03A2"/>
    <w:rsid w:val="63E1404C"/>
    <w:rsid w:val="641807B5"/>
    <w:rsid w:val="666430EE"/>
    <w:rsid w:val="673426E5"/>
    <w:rsid w:val="67500C85"/>
    <w:rsid w:val="67976BC1"/>
    <w:rsid w:val="684828EC"/>
    <w:rsid w:val="689D56E8"/>
    <w:rsid w:val="68D93CAA"/>
    <w:rsid w:val="690E7415"/>
    <w:rsid w:val="693E7AF0"/>
    <w:rsid w:val="69F51D33"/>
    <w:rsid w:val="6C0A5707"/>
    <w:rsid w:val="6DF20B60"/>
    <w:rsid w:val="6E2C1870"/>
    <w:rsid w:val="6E3312F4"/>
    <w:rsid w:val="6EA44CFD"/>
    <w:rsid w:val="6EEE4BC6"/>
    <w:rsid w:val="6FC67861"/>
    <w:rsid w:val="71213CDA"/>
    <w:rsid w:val="71E116BB"/>
    <w:rsid w:val="723164F6"/>
    <w:rsid w:val="729B5296"/>
    <w:rsid w:val="72DA6CFE"/>
    <w:rsid w:val="73371E1F"/>
    <w:rsid w:val="7367290E"/>
    <w:rsid w:val="73C01D14"/>
    <w:rsid w:val="747D06DB"/>
    <w:rsid w:val="74CB01F1"/>
    <w:rsid w:val="752D00F5"/>
    <w:rsid w:val="75A0481B"/>
    <w:rsid w:val="76B43CA8"/>
    <w:rsid w:val="770C6338"/>
    <w:rsid w:val="771D13E7"/>
    <w:rsid w:val="789B5077"/>
    <w:rsid w:val="7A172C96"/>
    <w:rsid w:val="7A1F03DF"/>
    <w:rsid w:val="7A3F072B"/>
    <w:rsid w:val="7A695463"/>
    <w:rsid w:val="7AD237C2"/>
    <w:rsid w:val="7B5B0758"/>
    <w:rsid w:val="7BC807EB"/>
    <w:rsid w:val="7EE530FF"/>
    <w:rsid w:val="7F6838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7"/>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line="42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Normal Indent"/>
    <w:basedOn w:val="1"/>
    <w:qFormat/>
    <w:uiPriority w:val="0"/>
    <w:pPr>
      <w:adjustRightInd w:val="0"/>
      <w:spacing w:line="360" w:lineRule="atLeast"/>
      <w:ind w:left="480"/>
      <w:textAlignment w:val="baseline"/>
    </w:pPr>
    <w:rPr>
      <w:kern w:val="0"/>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4">
    <w:name w:val="页眉 字符"/>
    <w:basedOn w:val="13"/>
    <w:link w:val="10"/>
    <w:qFormat/>
    <w:uiPriority w:val="99"/>
    <w:rPr>
      <w:rFonts w:ascii="Times New Roman" w:hAnsi="Times New Roman" w:eastAsia="宋体" w:cs="Times New Roman"/>
      <w:sz w:val="18"/>
      <w:szCs w:val="18"/>
    </w:rPr>
  </w:style>
  <w:style w:type="character" w:customStyle="1" w:styleId="15">
    <w:name w:val="页脚 字符"/>
    <w:basedOn w:val="13"/>
    <w:link w:val="9"/>
    <w:qFormat/>
    <w:uiPriority w:val="99"/>
    <w:rPr>
      <w:rFonts w:ascii="Times New Roman" w:hAnsi="Times New Roman" w:eastAsia="宋体" w:cs="Times New Roman"/>
      <w:sz w:val="18"/>
      <w:szCs w:val="18"/>
    </w:rPr>
  </w:style>
  <w:style w:type="character" w:customStyle="1" w:styleId="16">
    <w:name w:val="批注框文本 字符"/>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Char"/>
    <w:basedOn w:val="1"/>
    <w:qFormat/>
    <w:uiPriority w:val="0"/>
    <w:rPr>
      <w:rFonts w:ascii="仿宋_GB2312" w:eastAsia="仿宋_GB2312"/>
      <w:b/>
      <w:sz w:val="32"/>
      <w:szCs w:val="32"/>
    </w:rPr>
  </w:style>
  <w:style w:type="paragraph" w:customStyle="1" w:styleId="19">
    <w:name w:val="_Style 2"/>
    <w:basedOn w:val="1"/>
    <w:qFormat/>
    <w:uiPriority w:val="34"/>
    <w:pPr>
      <w:ind w:firstLine="420" w:firstLineChars="200"/>
    </w:pPr>
    <w:rPr>
      <w:rFonts w:ascii="Calibri" w:hAnsi="Calibri"/>
      <w:sz w:val="24"/>
      <w:szCs w:val="22"/>
    </w:rPr>
  </w:style>
  <w:style w:type="paragraph" w:styleId="20">
    <w:name w:val="List Paragraph"/>
    <w:basedOn w:val="1"/>
    <w:qFormat/>
    <w:uiPriority w:val="99"/>
    <w:pPr>
      <w:ind w:firstLine="420" w:firstLineChars="200"/>
    </w:pPr>
  </w:style>
  <w:style w:type="paragraph" w:customStyle="1" w:styleId="21">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779</Words>
  <Characters>4442</Characters>
  <Lines>37</Lines>
  <Paragraphs>10</Paragraphs>
  <TotalTime>4</TotalTime>
  <ScaleCrop>false</ScaleCrop>
  <LinksUpToDate>false</LinksUpToDate>
  <CharactersWithSpaces>5211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强子</cp:lastModifiedBy>
  <dcterms:modified xsi:type="dcterms:W3CDTF">2022-03-19T09:27:01Z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224B07BDBF294E5D97ED83399DFE9608</vt:lpwstr>
  </property>
</Properties>
</file>