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Theme="minorEastAsia" w:hAnsiTheme="minorEastAsia" w:eastAsiaTheme="minorEastAsia" w:cstheme="minorEastAsia"/>
          <w:bCs/>
          <w:color w:val="000000"/>
          <w:sz w:val="36"/>
          <w:szCs w:val="36"/>
        </w:rPr>
        <w:t>管理体系审核记录表</w:t>
      </w:r>
    </w:p>
    <w:tbl>
      <w:tblPr>
        <w:tblStyle w:val="15"/>
        <w:tblW w:w="14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965"/>
        <w:gridCol w:w="10927"/>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73" w:type="dxa"/>
            <w:vMerge w:val="restart"/>
            <w:vAlign w:val="center"/>
          </w:tcPr>
          <w:p>
            <w:pPr>
              <w:spacing w:before="12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过程与活动、</w:t>
            </w:r>
          </w:p>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抽样计划</w:t>
            </w:r>
          </w:p>
        </w:tc>
        <w:tc>
          <w:tcPr>
            <w:tcW w:w="965" w:type="dxa"/>
            <w:vMerge w:val="restar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涉及</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条款</w:t>
            </w:r>
          </w:p>
        </w:tc>
        <w:tc>
          <w:tcPr>
            <w:tcW w:w="10927" w:type="dxa"/>
            <w:vAlign w:val="center"/>
          </w:tcPr>
          <w:p>
            <w:pPr>
              <w:rPr>
                <w:rFonts w:hint="eastAsia" w:ascii="Times New Roman" w:hAnsi="Times New Roman" w:cs="Times New Roman"/>
                <w:szCs w:val="22"/>
                <w:highlight w:val="none"/>
                <w:lang w:eastAsia="zh-CN"/>
              </w:rPr>
            </w:pPr>
            <w:r>
              <w:rPr>
                <w:rFonts w:ascii="Times New Roman" w:hAnsi="Times New Roman" w:cs="Times New Roman"/>
                <w:szCs w:val="22"/>
                <w:highlight w:val="none"/>
              </w:rPr>
              <w:t>受审核部门：</w:t>
            </w:r>
            <w:r>
              <w:rPr>
                <w:rFonts w:hint="eastAsia" w:cs="Times New Roman"/>
                <w:szCs w:val="22"/>
                <w:highlight w:val="none"/>
                <w:lang w:val="en-US" w:eastAsia="zh-CN"/>
              </w:rPr>
              <w:t>技术部</w:t>
            </w:r>
            <w:r>
              <w:rPr>
                <w:rFonts w:ascii="Times New Roman" w:hAnsi="Times New Roman" w:cs="Times New Roman"/>
                <w:szCs w:val="22"/>
                <w:highlight w:val="none"/>
              </w:rPr>
              <w:t xml:space="preserve">     </w:t>
            </w:r>
            <w:r>
              <w:rPr>
                <w:rFonts w:hint="eastAsia" w:ascii="Times New Roman" w:hAnsi="Times New Roman" w:cs="Times New Roman"/>
                <w:szCs w:val="22"/>
                <w:highlight w:val="none"/>
                <w:lang w:val="en-US" w:eastAsia="zh-CN"/>
              </w:rPr>
              <w:t xml:space="preserve">   </w:t>
            </w:r>
            <w:r>
              <w:rPr>
                <w:rFonts w:ascii="Times New Roman" w:hAnsi="Times New Roman" w:cs="Times New Roman"/>
                <w:szCs w:val="22"/>
                <w:highlight w:val="none"/>
              </w:rPr>
              <w:t>主管领导：</w:t>
            </w:r>
            <w:r>
              <w:rPr>
                <w:rFonts w:hint="eastAsia" w:cs="Times New Roman"/>
                <w:szCs w:val="22"/>
                <w:highlight w:val="none"/>
                <w:lang w:eastAsia="zh-CN"/>
              </w:rPr>
              <w:t>刘新峰</w:t>
            </w:r>
            <w:r>
              <w:rPr>
                <w:rFonts w:ascii="Times New Roman" w:hAnsi="Times New Roman" w:cs="Times New Roman"/>
                <w:szCs w:val="22"/>
                <w:highlight w:val="none"/>
              </w:rPr>
              <w:t xml:space="preserve">  </w:t>
            </w:r>
            <w:r>
              <w:rPr>
                <w:rFonts w:hint="eastAsia" w:ascii="Times New Roman" w:hAnsi="Times New Roman" w:cs="Times New Roman"/>
                <w:szCs w:val="22"/>
                <w:highlight w:val="none"/>
              </w:rPr>
              <w:t xml:space="preserve"> </w:t>
            </w:r>
            <w:r>
              <w:rPr>
                <w:rFonts w:hint="eastAsia" w:ascii="Times New Roman" w:hAnsi="Times New Roman" w:cs="Times New Roman"/>
                <w:szCs w:val="22"/>
                <w:highlight w:val="none"/>
                <w:lang w:val="en-US" w:eastAsia="zh-CN"/>
              </w:rPr>
              <w:t xml:space="preserve">   </w:t>
            </w:r>
            <w:r>
              <w:rPr>
                <w:rFonts w:ascii="Times New Roman" w:hAnsi="Times New Roman" w:cs="Times New Roman"/>
                <w:szCs w:val="22"/>
                <w:highlight w:val="none"/>
              </w:rPr>
              <w:t xml:space="preserve"> 陪同人员：</w:t>
            </w:r>
            <w:r>
              <w:rPr>
                <w:rFonts w:hint="eastAsia" w:cs="Times New Roman"/>
                <w:szCs w:val="22"/>
                <w:highlight w:val="none"/>
                <w:lang w:eastAsia="zh-CN"/>
              </w:rPr>
              <w:t>周敬</w:t>
            </w:r>
          </w:p>
        </w:tc>
        <w:tc>
          <w:tcPr>
            <w:tcW w:w="732"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73" w:type="dxa"/>
            <w:vMerge w:val="continue"/>
            <w:vAlign w:val="center"/>
          </w:tcPr>
          <w:p>
            <w:pPr>
              <w:rPr>
                <w:rFonts w:hint="eastAsia" w:asciiTheme="minorEastAsia" w:hAnsiTheme="minorEastAsia" w:eastAsiaTheme="minorEastAsia" w:cstheme="minorEastAsia"/>
                <w:sz w:val="21"/>
                <w:szCs w:val="21"/>
                <w:highlight w:val="none"/>
              </w:rPr>
            </w:pPr>
          </w:p>
        </w:tc>
        <w:tc>
          <w:tcPr>
            <w:tcW w:w="965" w:type="dxa"/>
            <w:vMerge w:val="continue"/>
            <w:vAlign w:val="center"/>
          </w:tcPr>
          <w:p>
            <w:pPr>
              <w:rPr>
                <w:rFonts w:hint="eastAsia" w:asciiTheme="minorEastAsia" w:hAnsiTheme="minorEastAsia" w:eastAsiaTheme="minorEastAsia" w:cstheme="minorEastAsia"/>
                <w:sz w:val="21"/>
                <w:szCs w:val="21"/>
                <w:highlight w:val="none"/>
              </w:rPr>
            </w:pPr>
          </w:p>
        </w:tc>
        <w:tc>
          <w:tcPr>
            <w:tcW w:w="10927" w:type="dxa"/>
            <w:vAlign w:val="center"/>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审核员：</w:t>
            </w:r>
            <w:r>
              <w:rPr>
                <w:rFonts w:hint="eastAsia" w:ascii="Times New Roman" w:hAnsi="Times New Roman" w:cs="Times New Roman"/>
                <w:szCs w:val="22"/>
                <w:highlight w:val="none"/>
                <w:lang w:val="en-US" w:eastAsia="zh-CN"/>
              </w:rPr>
              <w:t xml:space="preserve">郭力、李博              </w:t>
            </w:r>
            <w:r>
              <w:rPr>
                <w:rFonts w:hint="eastAsia" w:ascii="Times New Roman" w:hAnsi="Times New Roman" w:cs="Times New Roman"/>
                <w:szCs w:val="22"/>
                <w:highlight w:val="none"/>
              </w:rPr>
              <w:t>202</w:t>
            </w:r>
            <w:r>
              <w:rPr>
                <w:rFonts w:hint="eastAsia" w:cs="Times New Roman"/>
                <w:szCs w:val="22"/>
                <w:highlight w:val="none"/>
                <w:lang w:val="en-US" w:eastAsia="zh-CN"/>
              </w:rPr>
              <w:t>2</w:t>
            </w:r>
            <w:r>
              <w:rPr>
                <w:rFonts w:hint="eastAsia" w:ascii="Times New Roman" w:hAnsi="Times New Roman" w:cs="Times New Roman"/>
                <w:szCs w:val="22"/>
                <w:highlight w:val="none"/>
              </w:rPr>
              <w:t>年</w:t>
            </w:r>
            <w:r>
              <w:rPr>
                <w:rFonts w:hint="eastAsia" w:cs="Times New Roman"/>
                <w:szCs w:val="22"/>
                <w:highlight w:val="none"/>
                <w:lang w:val="en-US" w:eastAsia="zh-CN"/>
              </w:rPr>
              <w:t>3</w:t>
            </w:r>
            <w:r>
              <w:rPr>
                <w:rFonts w:hint="eastAsia" w:ascii="Times New Roman" w:hAnsi="Times New Roman" w:cs="Times New Roman"/>
                <w:szCs w:val="22"/>
                <w:highlight w:val="none"/>
              </w:rPr>
              <w:t>月</w:t>
            </w:r>
            <w:r>
              <w:rPr>
                <w:rFonts w:hint="eastAsia" w:cs="Times New Roman"/>
                <w:szCs w:val="22"/>
                <w:highlight w:val="none"/>
                <w:lang w:val="en-US" w:eastAsia="zh-CN"/>
              </w:rPr>
              <w:t>17-18</w:t>
            </w:r>
            <w:r>
              <w:rPr>
                <w:rFonts w:hint="eastAsia" w:ascii="Times New Roman" w:hAnsi="Times New Roman" w:cs="Times New Roman"/>
                <w:szCs w:val="22"/>
                <w:highlight w:val="none"/>
              </w:rPr>
              <w:t>日</w:t>
            </w:r>
          </w:p>
        </w:tc>
        <w:tc>
          <w:tcPr>
            <w:tcW w:w="732"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73" w:type="dxa"/>
            <w:vMerge w:val="continue"/>
            <w:vAlign w:val="center"/>
          </w:tcPr>
          <w:p>
            <w:pPr>
              <w:rPr>
                <w:rFonts w:hint="eastAsia" w:asciiTheme="minorEastAsia" w:hAnsiTheme="minorEastAsia" w:eastAsiaTheme="minorEastAsia" w:cstheme="minorEastAsia"/>
                <w:sz w:val="21"/>
                <w:szCs w:val="21"/>
                <w:highlight w:val="none"/>
              </w:rPr>
            </w:pPr>
          </w:p>
        </w:tc>
        <w:tc>
          <w:tcPr>
            <w:tcW w:w="965" w:type="dxa"/>
            <w:vMerge w:val="continue"/>
            <w:vAlign w:val="center"/>
          </w:tcPr>
          <w:p>
            <w:pPr>
              <w:rPr>
                <w:rFonts w:hint="eastAsia" w:asciiTheme="minorEastAsia" w:hAnsiTheme="minorEastAsia" w:eastAsiaTheme="minorEastAsia" w:cstheme="minorEastAsia"/>
                <w:sz w:val="21"/>
                <w:szCs w:val="21"/>
                <w:highlight w:val="none"/>
              </w:rPr>
            </w:pPr>
          </w:p>
        </w:tc>
        <w:tc>
          <w:tcPr>
            <w:tcW w:w="10927" w:type="dxa"/>
            <w:vAlign w:val="center"/>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审核条款：</w:t>
            </w:r>
          </w:p>
          <w:p>
            <w:pPr>
              <w:rPr>
                <w:rFonts w:hint="eastAsia" w:ascii="Times New Roman" w:hAnsi="Times New Roman" w:cs="Times New Roman"/>
                <w:szCs w:val="22"/>
                <w:highlight w:val="none"/>
              </w:rPr>
            </w:pPr>
            <w:r>
              <w:rPr>
                <w:rFonts w:hint="eastAsia" w:asciiTheme="minorEastAsia" w:hAnsiTheme="minorEastAsia" w:eastAsiaTheme="minorEastAsia" w:cstheme="minorEastAsia"/>
                <w:b w:val="0"/>
                <w:bCs w:val="0"/>
                <w:color w:val="auto"/>
                <w:sz w:val="21"/>
                <w:szCs w:val="21"/>
                <w:lang w:val="en-US" w:eastAsia="zh-CN"/>
              </w:rPr>
              <w:t>Q：</w:t>
            </w:r>
            <w:r>
              <w:rPr>
                <w:rFonts w:hint="eastAsia" w:ascii="宋体" w:hAnsi="宋体" w:cs="Arial"/>
                <w:color w:val="auto"/>
                <w:sz w:val="21"/>
                <w:szCs w:val="21"/>
              </w:rPr>
              <w:t>7.1.3</w:t>
            </w:r>
            <w:r>
              <w:rPr>
                <w:rFonts w:hint="eastAsia" w:ascii="宋体" w:hAnsi="宋体" w:cs="Arial"/>
                <w:color w:val="auto"/>
                <w:sz w:val="21"/>
                <w:szCs w:val="21"/>
                <w:lang w:eastAsia="zh-CN"/>
              </w:rPr>
              <w:t>、</w:t>
            </w:r>
            <w:r>
              <w:rPr>
                <w:rFonts w:hint="eastAsia" w:ascii="宋体" w:hAnsi="宋体" w:cs="Arial"/>
                <w:color w:val="auto"/>
                <w:sz w:val="21"/>
                <w:szCs w:val="21"/>
              </w:rPr>
              <w:t>7.1.4</w:t>
            </w:r>
            <w:r>
              <w:rPr>
                <w:rFonts w:hint="eastAsia" w:ascii="宋体" w:hAnsi="宋体" w:cs="Arial"/>
                <w:color w:val="auto"/>
                <w:sz w:val="21"/>
                <w:szCs w:val="21"/>
                <w:lang w:eastAsia="zh-CN"/>
              </w:rPr>
              <w:t>、</w:t>
            </w:r>
            <w:r>
              <w:rPr>
                <w:rFonts w:hint="eastAsia" w:ascii="宋体" w:hAnsi="宋体" w:cs="Arial"/>
                <w:color w:val="auto"/>
                <w:sz w:val="21"/>
                <w:szCs w:val="21"/>
              </w:rPr>
              <w:t>7.1.5</w:t>
            </w:r>
            <w:r>
              <w:rPr>
                <w:rFonts w:hint="eastAsia" w:ascii="宋体" w:hAnsi="宋体" w:cs="Arial"/>
                <w:color w:val="auto"/>
                <w:sz w:val="21"/>
                <w:szCs w:val="21"/>
                <w:lang w:eastAsia="zh-CN"/>
              </w:rPr>
              <w:t>、</w:t>
            </w:r>
            <w:r>
              <w:rPr>
                <w:rFonts w:hint="eastAsia" w:ascii="宋体" w:hAnsi="宋体" w:cs="Arial"/>
                <w:color w:val="auto"/>
                <w:sz w:val="21"/>
                <w:szCs w:val="21"/>
              </w:rPr>
              <w:t>8.1</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8.3、</w:t>
            </w:r>
            <w:r>
              <w:rPr>
                <w:rFonts w:hint="eastAsia" w:ascii="宋体" w:hAnsi="宋体" w:cs="Arial"/>
                <w:color w:val="auto"/>
                <w:sz w:val="21"/>
                <w:szCs w:val="21"/>
              </w:rPr>
              <w:t>8.5.1</w:t>
            </w:r>
            <w:r>
              <w:rPr>
                <w:rFonts w:hint="eastAsia" w:ascii="宋体" w:hAnsi="宋体" w:cs="Arial"/>
                <w:color w:val="auto"/>
                <w:sz w:val="21"/>
                <w:szCs w:val="21"/>
                <w:lang w:eastAsia="zh-CN"/>
              </w:rPr>
              <w:t>、</w:t>
            </w:r>
            <w:r>
              <w:rPr>
                <w:rFonts w:hint="eastAsia" w:ascii="宋体" w:hAnsi="宋体" w:cs="Arial"/>
                <w:color w:val="auto"/>
                <w:sz w:val="21"/>
                <w:szCs w:val="21"/>
              </w:rPr>
              <w:t>8.6</w:t>
            </w:r>
            <w:r>
              <w:rPr>
                <w:rFonts w:hint="eastAsia" w:ascii="宋体" w:hAnsi="宋体" w:cs="Arial"/>
                <w:color w:val="auto"/>
                <w:sz w:val="21"/>
                <w:szCs w:val="21"/>
                <w:lang w:eastAsia="zh-CN"/>
              </w:rPr>
              <w:t>、</w:t>
            </w:r>
            <w:r>
              <w:rPr>
                <w:rFonts w:hint="eastAsia" w:ascii="宋体" w:hAnsi="宋体" w:cs="Arial"/>
                <w:color w:val="auto"/>
                <w:sz w:val="21"/>
                <w:szCs w:val="21"/>
              </w:rPr>
              <w:t>8.5.2</w:t>
            </w:r>
            <w:r>
              <w:rPr>
                <w:rFonts w:hint="eastAsia" w:ascii="宋体" w:hAnsi="宋体" w:cs="Arial"/>
                <w:color w:val="auto"/>
                <w:sz w:val="21"/>
                <w:szCs w:val="21"/>
                <w:lang w:eastAsia="zh-CN"/>
              </w:rPr>
              <w:t>、</w:t>
            </w:r>
            <w:r>
              <w:rPr>
                <w:rFonts w:hint="eastAsia" w:ascii="宋体" w:hAnsi="宋体" w:cs="Arial"/>
                <w:color w:val="auto"/>
                <w:sz w:val="21"/>
                <w:szCs w:val="21"/>
              </w:rPr>
              <w:t>8.5.3</w:t>
            </w:r>
            <w:r>
              <w:rPr>
                <w:rFonts w:hint="eastAsia" w:ascii="宋体" w:hAnsi="宋体" w:cs="Arial"/>
                <w:color w:val="auto"/>
                <w:sz w:val="21"/>
                <w:szCs w:val="21"/>
                <w:lang w:eastAsia="zh-CN"/>
              </w:rPr>
              <w:t>、</w:t>
            </w:r>
            <w:r>
              <w:rPr>
                <w:rFonts w:hint="eastAsia" w:ascii="宋体" w:hAnsi="宋体" w:cs="Arial"/>
                <w:color w:val="auto"/>
                <w:sz w:val="21"/>
                <w:szCs w:val="21"/>
              </w:rPr>
              <w:t>8.5.4</w:t>
            </w:r>
            <w:r>
              <w:rPr>
                <w:rFonts w:hint="eastAsia" w:ascii="宋体" w:hAnsi="宋体" w:cs="Arial"/>
                <w:color w:val="auto"/>
                <w:sz w:val="21"/>
                <w:szCs w:val="21"/>
                <w:lang w:eastAsia="zh-CN"/>
              </w:rPr>
              <w:t>、</w:t>
            </w:r>
            <w:r>
              <w:rPr>
                <w:rFonts w:hint="eastAsia" w:ascii="宋体" w:hAnsi="宋体" w:cs="Arial"/>
                <w:color w:val="auto"/>
                <w:sz w:val="21"/>
                <w:szCs w:val="21"/>
              </w:rPr>
              <w:t>8.5.5</w:t>
            </w:r>
            <w:r>
              <w:rPr>
                <w:rFonts w:hint="eastAsia" w:ascii="宋体" w:hAnsi="宋体" w:cs="Arial"/>
                <w:color w:val="auto"/>
                <w:sz w:val="21"/>
                <w:szCs w:val="21"/>
                <w:lang w:eastAsia="zh-CN"/>
              </w:rPr>
              <w:t>、</w:t>
            </w:r>
            <w:r>
              <w:rPr>
                <w:rFonts w:hint="eastAsia" w:ascii="宋体" w:hAnsi="宋体" w:cs="Arial"/>
                <w:color w:val="auto"/>
                <w:sz w:val="21"/>
                <w:szCs w:val="21"/>
              </w:rPr>
              <w:t>8.5.</w:t>
            </w:r>
            <w:r>
              <w:rPr>
                <w:rFonts w:hint="eastAsia" w:ascii="宋体" w:hAnsi="宋体" w:cs="Arial"/>
                <w:color w:val="auto"/>
                <w:sz w:val="21"/>
                <w:szCs w:val="21"/>
                <w:lang w:val="en-US" w:eastAsia="zh-CN"/>
              </w:rPr>
              <w:t>6、</w:t>
            </w:r>
            <w:r>
              <w:rPr>
                <w:rFonts w:hint="eastAsia" w:ascii="宋体" w:hAnsi="宋体" w:cs="Arial"/>
                <w:color w:val="auto"/>
                <w:sz w:val="21"/>
                <w:szCs w:val="21"/>
              </w:rPr>
              <w:t>8.7</w:t>
            </w:r>
          </w:p>
        </w:tc>
        <w:tc>
          <w:tcPr>
            <w:tcW w:w="732"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173" w:type="dxa"/>
            <w:vAlign w:val="top"/>
          </w:tcPr>
          <w:p>
            <w:pPr>
              <w:spacing w:line="280" w:lineRule="exact"/>
              <w:rPr>
                <w:rFonts w:hint="eastAsia" w:ascii="宋体" w:hAnsi="宋体" w:cs="宋体"/>
                <w:color w:val="auto"/>
                <w:szCs w:val="21"/>
              </w:rPr>
            </w:pPr>
            <w:r>
              <w:rPr>
                <w:rFonts w:hint="eastAsia" w:ascii="宋体" w:hAnsi="宋体" w:cs="宋体"/>
                <w:color w:val="auto"/>
                <w:szCs w:val="21"/>
              </w:rPr>
              <w:t>基础设施</w:t>
            </w:r>
          </w:p>
          <w:p>
            <w:pPr>
              <w:spacing w:line="280" w:lineRule="exact"/>
              <w:rPr>
                <w:rFonts w:hint="eastAsia" w:ascii="宋体" w:hAnsi="宋体" w:cs="宋体"/>
                <w:color w:val="auto"/>
                <w:szCs w:val="21"/>
              </w:rPr>
            </w:pPr>
            <w:r>
              <w:rPr>
                <w:rFonts w:hint="eastAsia" w:ascii="宋体" w:hAnsi="宋体" w:cs="Arial"/>
                <w:color w:val="auto"/>
                <w:sz w:val="21"/>
                <w:szCs w:val="21"/>
              </w:rPr>
              <w:t>过程运行环境</w:t>
            </w:r>
          </w:p>
          <w:p>
            <w:pPr>
              <w:spacing w:line="28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监视和测量资源管理管理</w:t>
            </w:r>
          </w:p>
        </w:tc>
        <w:tc>
          <w:tcPr>
            <w:tcW w:w="965" w:type="dxa"/>
            <w:vAlign w:val="top"/>
          </w:tcPr>
          <w:p>
            <w:pPr>
              <w:spacing w:line="280" w:lineRule="exact"/>
              <w:rPr>
                <w:rFonts w:ascii="宋体" w:hAnsi="宋体" w:cs="宋体"/>
                <w:color w:val="auto"/>
                <w:szCs w:val="21"/>
              </w:rPr>
            </w:pPr>
            <w:r>
              <w:rPr>
                <w:rFonts w:hint="eastAsia" w:ascii="宋体" w:hAnsi="宋体" w:cs="宋体"/>
                <w:color w:val="auto"/>
                <w:szCs w:val="21"/>
              </w:rPr>
              <w:t>Q</w:t>
            </w:r>
            <w:r>
              <w:rPr>
                <w:rFonts w:ascii="宋体" w:hAnsi="宋体" w:cs="宋体"/>
                <w:color w:val="auto"/>
                <w:szCs w:val="21"/>
              </w:rPr>
              <w:t>7.1.3</w:t>
            </w:r>
          </w:p>
          <w:p>
            <w:pPr>
              <w:spacing w:line="280" w:lineRule="exact"/>
              <w:rPr>
                <w:rFonts w:hint="eastAsia" w:ascii="宋体" w:hAnsi="宋体" w:eastAsia="宋体" w:cs="宋体"/>
                <w:color w:val="auto"/>
                <w:szCs w:val="21"/>
                <w:lang w:val="en-US" w:eastAsia="zh-CN"/>
              </w:rPr>
            </w:pPr>
            <w:r>
              <w:rPr>
                <w:rFonts w:hint="eastAsia" w:ascii="宋体" w:hAnsi="宋体" w:cs="宋体"/>
                <w:color w:val="auto"/>
                <w:szCs w:val="21"/>
              </w:rPr>
              <w:t>Q</w:t>
            </w:r>
            <w:r>
              <w:rPr>
                <w:rFonts w:ascii="宋体" w:hAnsi="宋体" w:cs="宋体"/>
                <w:color w:val="auto"/>
                <w:szCs w:val="21"/>
              </w:rPr>
              <w:t>7.1.</w:t>
            </w:r>
            <w:r>
              <w:rPr>
                <w:rFonts w:hint="eastAsia" w:ascii="宋体" w:hAnsi="宋体" w:cs="宋体"/>
                <w:color w:val="auto"/>
                <w:szCs w:val="21"/>
                <w:lang w:val="en-US" w:eastAsia="zh-CN"/>
              </w:rPr>
              <w:t>4</w:t>
            </w:r>
          </w:p>
          <w:p>
            <w:pPr>
              <w:spacing w:line="28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Q</w:t>
            </w:r>
            <w:r>
              <w:rPr>
                <w:rFonts w:ascii="宋体" w:hAnsi="宋体" w:cs="宋体"/>
                <w:color w:val="auto"/>
                <w:szCs w:val="21"/>
              </w:rPr>
              <w:t>7.1.5</w:t>
            </w:r>
          </w:p>
        </w:tc>
        <w:tc>
          <w:tcPr>
            <w:tcW w:w="10927" w:type="dxa"/>
            <w:vAlign w:val="center"/>
          </w:tcPr>
          <w:p>
            <w:pPr>
              <w:spacing w:line="360" w:lineRule="auto"/>
              <w:ind w:firstLine="420" w:firstLineChars="200"/>
              <w:rPr>
                <w:rFonts w:hint="eastAsia" w:ascii="宋体" w:hAnsi="宋体" w:eastAsia="宋体" w:cs="宋体"/>
                <w:szCs w:val="21"/>
              </w:rPr>
            </w:pPr>
            <w:r>
              <w:rPr>
                <w:rFonts w:hint="eastAsia"/>
              </w:rPr>
              <w:t>组织提供的</w:t>
            </w:r>
            <w:r>
              <w:rPr>
                <w:rFonts w:hint="eastAsia"/>
                <w:lang w:val="en-US" w:eastAsia="zh-CN"/>
              </w:rPr>
              <w:t>六氟化硫净化服务</w:t>
            </w:r>
            <w:r>
              <w:rPr>
                <w:rFonts w:hint="eastAsia"/>
              </w:rPr>
              <w:t>服务，在手册中7</w:t>
            </w:r>
            <w:r>
              <w:t>.1.3</w:t>
            </w:r>
            <w:r>
              <w:rPr>
                <w:rFonts w:hint="eastAsia"/>
              </w:rPr>
              <w:t>中对基础设施，7.1.4过程运行环境</w:t>
            </w:r>
            <w:r>
              <w:rPr>
                <w:rFonts w:hint="eastAsia"/>
                <w:lang w:eastAsia="zh-CN"/>
              </w:rPr>
              <w:t>，</w:t>
            </w:r>
            <w:r>
              <w:rPr>
                <w:rFonts w:hint="eastAsia"/>
              </w:rPr>
              <w:t>7</w:t>
            </w:r>
            <w:r>
              <w:t>.1.5</w:t>
            </w:r>
            <w:r>
              <w:rPr>
                <w:rFonts w:hint="eastAsia"/>
              </w:rPr>
              <w:t>中对监视和测量资源管理进行了规定</w:t>
            </w:r>
            <w:r>
              <w:rPr>
                <w:rFonts w:hint="eastAsia"/>
                <w:lang w:eastAsia="zh-CN"/>
              </w:rPr>
              <w:t>；</w:t>
            </w:r>
            <w:r>
              <w:rPr>
                <w:rFonts w:hint="eastAsia"/>
                <w:lang w:val="en-US" w:eastAsia="zh-CN"/>
              </w:rPr>
              <w:t>办公地址为：</w:t>
            </w:r>
            <w:r>
              <w:rPr>
                <w:rFonts w:hint="eastAsia" w:ascii="宋体" w:hAnsi="宋体" w:cs="宋体"/>
                <w:szCs w:val="21"/>
              </w:rPr>
              <w:t>陕西省西安市莲湖区桃园街道大土门社区世和小区A1903室</w:t>
            </w:r>
            <w:r>
              <w:rPr>
                <w:rFonts w:hint="eastAsia" w:ascii="宋体" w:hAnsi="宋体" w:eastAsia="宋体" w:cs="宋体"/>
                <w:szCs w:val="21"/>
              </w:rPr>
              <w:t>；办公面积</w:t>
            </w:r>
            <w:r>
              <w:rPr>
                <w:rFonts w:hint="eastAsia" w:ascii="宋体" w:hAnsi="宋体" w:cs="宋体"/>
                <w:szCs w:val="21"/>
                <w:lang w:val="en-US" w:eastAsia="zh-CN"/>
              </w:rPr>
              <w:t>100</w:t>
            </w:r>
            <w:r>
              <w:rPr>
                <w:rFonts w:hint="eastAsia" w:ascii="宋体" w:hAnsi="宋体" w:eastAsia="宋体" w:cs="宋体"/>
                <w:szCs w:val="21"/>
              </w:rPr>
              <w:t>平米，配置了办公电脑</w:t>
            </w:r>
            <w:r>
              <w:rPr>
                <w:rFonts w:hint="eastAsia" w:ascii="宋体" w:hAnsi="宋体" w:cs="宋体"/>
                <w:szCs w:val="21"/>
                <w:lang w:val="en-US" w:eastAsia="zh-CN"/>
              </w:rPr>
              <w:t>3</w:t>
            </w:r>
            <w:r>
              <w:rPr>
                <w:rFonts w:hint="eastAsia" w:ascii="宋体" w:hAnsi="宋体" w:eastAsia="宋体" w:cs="宋体"/>
                <w:szCs w:val="21"/>
              </w:rPr>
              <w:t>台；打印/复印机</w:t>
            </w:r>
            <w:r>
              <w:rPr>
                <w:rFonts w:hint="eastAsia" w:ascii="宋体" w:hAnsi="宋体" w:cs="宋体"/>
                <w:szCs w:val="21"/>
                <w:lang w:val="en-US" w:eastAsia="zh-CN"/>
              </w:rPr>
              <w:t>1</w:t>
            </w:r>
            <w:r>
              <w:rPr>
                <w:rFonts w:hint="eastAsia" w:ascii="宋体" w:hAnsi="宋体" w:eastAsia="宋体" w:cs="宋体"/>
                <w:szCs w:val="21"/>
              </w:rPr>
              <w:t>台；办公桌椅、文件柜配置齐全。</w:t>
            </w:r>
          </w:p>
          <w:p>
            <w:pPr>
              <w:spacing w:line="360" w:lineRule="auto"/>
              <w:ind w:firstLine="420" w:firstLineChars="200"/>
              <w:rPr>
                <w:rFonts w:hint="default"/>
                <w:lang w:val="en-US" w:eastAsia="zh-CN"/>
              </w:rPr>
            </w:pPr>
            <w:r>
              <w:rPr>
                <w:rFonts w:hint="eastAsia" w:ascii="宋体" w:hAnsi="宋体" w:cs="宋体"/>
                <w:szCs w:val="21"/>
                <w:lang w:val="en-US" w:eastAsia="zh-CN"/>
              </w:rPr>
              <w:t>该场所为住宅租赁，查其租赁合同，租赁期限为租赁期限为2021.9.10-2023.9.10。</w:t>
            </w:r>
          </w:p>
          <w:p>
            <w:pPr>
              <w:spacing w:line="360" w:lineRule="auto"/>
              <w:ind w:firstLine="420" w:firstLineChars="200"/>
              <w:rPr>
                <w:rFonts w:hint="eastAsia"/>
              </w:rPr>
            </w:pPr>
            <w:r>
              <w:rPr>
                <w:rFonts w:hint="eastAsia"/>
              </w:rPr>
              <w:t>现场查看所涉及的设备情况，</w:t>
            </w:r>
            <w:r>
              <w:rPr>
                <w:rFonts w:hint="eastAsia"/>
                <w:lang w:val="en-US" w:eastAsia="zh-CN"/>
              </w:rPr>
              <w:t>六氟化硫净化服务</w:t>
            </w:r>
            <w:r>
              <w:rPr>
                <w:rFonts w:hint="eastAsia"/>
              </w:rPr>
              <w:t>过程中使用的设备：</w:t>
            </w:r>
            <w:r>
              <w:rPr>
                <w:rFonts w:hint="eastAsia" w:cs="Times New Roman"/>
                <w:color w:val="auto"/>
                <w:szCs w:val="21"/>
                <w:lang w:val="en-US" w:eastAsia="zh-CN"/>
              </w:rPr>
              <w:t>六氟化硫回收车、K600 3人座钢瓦楞厢车</w:t>
            </w:r>
            <w:r>
              <w:rPr>
                <w:rFonts w:hint="eastAsia"/>
              </w:rPr>
              <w:t>等；上述</w:t>
            </w:r>
            <w:r>
              <w:rPr>
                <w:rFonts w:hint="eastAsia"/>
                <w:lang w:val="en-US" w:eastAsia="zh-CN"/>
              </w:rPr>
              <w:t>设备</w:t>
            </w:r>
            <w:r>
              <w:rPr>
                <w:rFonts w:hint="eastAsia"/>
              </w:rPr>
              <w:t>管理基本符合。</w:t>
            </w:r>
          </w:p>
          <w:p>
            <w:pPr>
              <w:spacing w:line="360" w:lineRule="auto"/>
              <w:ind w:firstLine="420" w:firstLineChars="200"/>
              <w:rPr>
                <w:rFonts w:hint="eastAsia" w:ascii="Times New Roman" w:hAnsi="Times New Roman" w:eastAsia="宋体" w:cs="Times New Roman"/>
                <w:szCs w:val="22"/>
                <w:lang w:val="en-US" w:eastAsia="zh-CN"/>
              </w:rPr>
            </w:pPr>
            <w:r>
              <w:rPr>
                <w:rFonts w:hint="eastAsia" w:cs="Times New Roman"/>
                <w:szCs w:val="22"/>
                <w:lang w:val="en-US" w:eastAsia="zh-CN"/>
              </w:rPr>
              <w:t>技术部</w:t>
            </w:r>
            <w:r>
              <w:rPr>
                <w:rFonts w:hint="eastAsia" w:ascii="Times New Roman" w:hAnsi="Times New Roman" w:eastAsia="宋体" w:cs="Times New Roman"/>
                <w:szCs w:val="22"/>
              </w:rPr>
              <w:t>将设备的日常维护保养落实到具体的操作者</w:t>
            </w:r>
            <w:r>
              <w:rPr>
                <w:rFonts w:hint="eastAsia" w:ascii="Times New Roman" w:hAnsi="Times New Roman" w:eastAsia="宋体" w:cs="Times New Roman"/>
                <w:szCs w:val="22"/>
                <w:lang w:val="en-US" w:eastAsia="zh-CN"/>
              </w:rPr>
              <w:t>，查看</w:t>
            </w:r>
            <w:r>
              <w:rPr>
                <w:rFonts w:hint="eastAsia" w:cs="Times New Roman"/>
                <w:color w:val="auto"/>
                <w:szCs w:val="21"/>
                <w:lang w:val="en-US" w:eastAsia="zh-CN"/>
              </w:rPr>
              <w:t>六氟化硫回收车</w:t>
            </w:r>
            <w:r>
              <w:rPr>
                <w:rFonts w:hint="eastAsia" w:ascii="Times New Roman" w:hAnsi="Times New Roman" w:eastAsia="宋体" w:cs="Times New Roman"/>
                <w:szCs w:val="22"/>
                <w:lang w:val="en-US" w:eastAsia="zh-CN"/>
              </w:rPr>
              <w:t>的“维护保养记录”（202</w:t>
            </w:r>
            <w:r>
              <w:rPr>
                <w:rFonts w:hint="eastAsia" w:cs="Times New Roman"/>
                <w:szCs w:val="22"/>
                <w:lang w:val="en-US" w:eastAsia="zh-CN"/>
              </w:rPr>
              <w:t>1</w:t>
            </w:r>
            <w:r>
              <w:rPr>
                <w:rFonts w:hint="eastAsia" w:ascii="Times New Roman" w:hAnsi="Times New Roman" w:eastAsia="宋体" w:cs="Times New Roman"/>
                <w:szCs w:val="22"/>
                <w:lang w:val="en-US" w:eastAsia="zh-CN"/>
              </w:rPr>
              <w:t>.9.3、202</w:t>
            </w:r>
            <w:r>
              <w:rPr>
                <w:rFonts w:hint="eastAsia" w:cs="Times New Roman"/>
                <w:szCs w:val="22"/>
                <w:lang w:val="en-US" w:eastAsia="zh-CN"/>
              </w:rPr>
              <w:t>1</w:t>
            </w:r>
            <w:r>
              <w:rPr>
                <w:rFonts w:hint="eastAsia" w:ascii="Times New Roman" w:hAnsi="Times New Roman" w:eastAsia="宋体" w:cs="Times New Roman"/>
                <w:szCs w:val="22"/>
                <w:lang w:val="en-US" w:eastAsia="zh-CN"/>
              </w:rPr>
              <w:t>.12.2），以上记录均填写完整，清晰</w:t>
            </w:r>
            <w:r>
              <w:rPr>
                <w:rFonts w:hint="eastAsia" w:cs="Times New Roman"/>
                <w:szCs w:val="22"/>
                <w:lang w:val="en-US" w:eastAsia="zh-CN"/>
              </w:rPr>
              <w:t>，主要对外观、润滑油、控制柜内接头、各个部位螺丝等</w:t>
            </w:r>
            <w:r>
              <w:rPr>
                <w:rFonts w:hint="eastAsia" w:ascii="Times New Roman" w:hAnsi="Times New Roman" w:eastAsia="宋体" w:cs="Times New Roman"/>
                <w:szCs w:val="22"/>
                <w:lang w:val="en-US" w:eastAsia="zh-CN"/>
              </w:rPr>
              <w:t>，审批签字齐全，设备日常保养符合策划要求。</w:t>
            </w:r>
          </w:p>
          <w:p>
            <w:pPr>
              <w:pStyle w:val="2"/>
              <w:rPr>
                <w:rFonts w:hint="default" w:ascii="Times New Roman" w:hAnsi="Times New Roman" w:eastAsia="宋体" w:cs="Times New Roman"/>
                <w:kern w:val="2"/>
                <w:sz w:val="21"/>
                <w:szCs w:val="22"/>
                <w:lang w:val="en-US" w:eastAsia="zh-CN" w:bidi="ar-SA"/>
              </w:rPr>
            </w:pPr>
            <w:r>
              <w:rPr>
                <w:rFonts w:hint="eastAsia" w:cs="Times New Roman"/>
                <w:szCs w:val="22"/>
                <w:lang w:val="en-US" w:eastAsia="zh-CN"/>
              </w:rPr>
              <w:t xml:space="preserve">  </w:t>
            </w:r>
            <w:r>
              <w:rPr>
                <w:rFonts w:hint="eastAsia" w:ascii="Times New Roman" w:hAnsi="Times New Roman" w:eastAsia="宋体" w:cs="Times New Roman"/>
                <w:kern w:val="2"/>
                <w:sz w:val="21"/>
                <w:szCs w:val="22"/>
                <w:lang w:val="en-US" w:eastAsia="zh-CN" w:bidi="ar-SA"/>
              </w:rPr>
              <w:t xml:space="preserve"> 主要设备六氟化硫回收车由供应方河南日立信股份有限公司定期进行维修保养，查看了2022.2.16日由河南日立信股份有限公司提供的设备《测试报告》，主要对六氟化硫钢瓶加热称重装置：电气控制回路试验；六氟化硫气体回收装置：抽真空及真空度保持试验、回收气体速度试验；充气回收速度等项目进行了测试。见附件。</w:t>
            </w:r>
          </w:p>
          <w:p>
            <w:pPr>
              <w:pStyle w:val="2"/>
              <w:ind w:firstLine="420" w:firstLineChars="200"/>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部门对基础设施的管理符合规定要求。</w:t>
            </w:r>
          </w:p>
          <w:p>
            <w:pPr>
              <w:spacing w:line="360" w:lineRule="auto"/>
              <w:ind w:firstLine="420" w:firstLineChars="200"/>
              <w:rPr>
                <w:rFonts w:hint="eastAsia"/>
              </w:rPr>
            </w:pPr>
            <w:r>
              <w:rPr>
                <w:rFonts w:hint="eastAsia"/>
              </w:rPr>
              <w:t>现场查看：公司</w:t>
            </w:r>
            <w:r>
              <w:rPr>
                <w:rFonts w:hint="eastAsia"/>
                <w:lang w:val="en-US" w:eastAsia="zh-CN"/>
              </w:rPr>
              <w:t>管理</w:t>
            </w:r>
            <w:r>
              <w:rPr>
                <w:rFonts w:hint="eastAsia"/>
              </w:rPr>
              <w:t>手册7.1.4章节，规定了现场过程运行环境的控制要求。</w:t>
            </w:r>
          </w:p>
          <w:p>
            <w:pPr>
              <w:spacing w:line="360" w:lineRule="auto"/>
              <w:ind w:firstLine="420" w:firstLineChars="200"/>
              <w:rPr>
                <w:rFonts w:hint="eastAsia"/>
              </w:rPr>
            </w:pPr>
            <w:r>
              <w:rPr>
                <w:rFonts w:hint="eastAsia"/>
                <w:lang w:val="en-US" w:eastAsia="zh-CN"/>
              </w:rPr>
              <w:t>六氟化硫净化服务</w:t>
            </w:r>
            <w:r>
              <w:rPr>
                <w:rFonts w:hint="eastAsia"/>
              </w:rPr>
              <w:t>的现场，无温度/湿度/洁净度等特殊环境控制要求，查看的</w:t>
            </w:r>
            <w:r>
              <w:rPr>
                <w:rFonts w:hint="eastAsia"/>
                <w:lang w:val="en-US" w:eastAsia="zh-CN"/>
              </w:rPr>
              <w:t>服务现场</w:t>
            </w:r>
            <w:r>
              <w:rPr>
                <w:rFonts w:hint="eastAsia"/>
              </w:rPr>
              <w:t>，环境整洁，通道宽畅，采光良好，作业区域划分清晰，符合规定要求。</w:t>
            </w:r>
          </w:p>
          <w:p>
            <w:pPr>
              <w:spacing w:line="360" w:lineRule="auto"/>
              <w:ind w:firstLine="420" w:firstLineChars="200"/>
              <w:rPr>
                <w:rFonts w:hint="default"/>
                <w:lang w:val="en-US" w:eastAsia="zh-CN"/>
              </w:rPr>
            </w:pPr>
            <w:r>
              <w:rPr>
                <w:rFonts w:hint="eastAsia"/>
                <w:lang w:val="en-US" w:eastAsia="zh-CN"/>
              </w:rPr>
              <w:t>六氟化硫净化服务过程需要的监视测量设备为压力表，一阶段提出未能提供压力表的检测报告，二阶段查了压力表的校准证书：XASLJZ22300598、XASLJZ22300599，校准日期：2022年3月15日，由西安硕隆计量检测有限公司出具。见附件。</w:t>
            </w: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173" w:type="dxa"/>
            <w:vAlign w:val="top"/>
          </w:tcPr>
          <w:p>
            <w:pPr>
              <w:snapToGri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运行策划和控制</w:t>
            </w:r>
          </w:p>
        </w:tc>
        <w:tc>
          <w:tcPr>
            <w:tcW w:w="965" w:type="dxa"/>
            <w:vAlign w:val="top"/>
          </w:tcPr>
          <w:p>
            <w:pPr>
              <w:snapToGri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8.1</w:t>
            </w:r>
          </w:p>
        </w:tc>
        <w:tc>
          <w:tcPr>
            <w:tcW w:w="10927" w:type="dxa"/>
            <w:vAlign w:val="top"/>
          </w:tcPr>
          <w:p>
            <w:pPr>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六氟化硫净化服务</w:t>
            </w:r>
            <w:r>
              <w:rPr>
                <w:rFonts w:hint="eastAsia" w:ascii="宋体" w:hAnsi="宋体" w:eastAsia="宋体" w:cs="宋体"/>
                <w:color w:val="auto"/>
                <w:szCs w:val="21"/>
              </w:rPr>
              <w:t>实现的策划主要由</w:t>
            </w:r>
            <w:r>
              <w:rPr>
                <w:rFonts w:hint="eastAsia" w:ascii="宋体" w:hAnsi="宋体" w:cs="宋体"/>
                <w:color w:val="auto"/>
                <w:szCs w:val="21"/>
                <w:lang w:val="en-US" w:eastAsia="zh-CN"/>
              </w:rPr>
              <w:t>技术</w:t>
            </w:r>
            <w:r>
              <w:rPr>
                <w:rFonts w:hint="eastAsia" w:ascii="宋体" w:hAnsi="宋体" w:cs="宋体"/>
                <w:color w:val="auto"/>
                <w:szCs w:val="21"/>
                <w:lang w:eastAsia="zh-CN"/>
              </w:rPr>
              <w:t>部</w:t>
            </w:r>
            <w:r>
              <w:rPr>
                <w:rFonts w:hint="eastAsia" w:ascii="宋体" w:hAnsi="宋体" w:eastAsia="宋体" w:cs="宋体"/>
                <w:color w:val="auto"/>
                <w:szCs w:val="21"/>
              </w:rPr>
              <w:t>负责人完成，过程策划包含了实现产品所需达到的质量目标和要求，公司主要依据</w:t>
            </w:r>
            <w:r>
              <w:rPr>
                <w:rFonts w:hint="eastAsia" w:ascii="宋体" w:hAnsi="宋体" w:eastAsia="宋体" w:cs="宋体"/>
                <w:color w:val="auto"/>
                <w:szCs w:val="21"/>
                <w:lang w:val="en-US" w:eastAsia="zh-CN"/>
              </w:rPr>
              <w:t>国家标准</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客户要求</w:t>
            </w:r>
            <w:r>
              <w:rPr>
                <w:rFonts w:hint="eastAsia" w:ascii="宋体" w:hAnsi="宋体" w:eastAsia="宋体" w:cs="宋体"/>
                <w:color w:val="auto"/>
                <w:szCs w:val="21"/>
                <w:lang w:eastAsia="zh-CN"/>
              </w:rPr>
              <w:t>，六氟化硫气体回收装置技术条件 第1部分：六氟化硫气体回收装置DL/T 662.1-2021</w:t>
            </w:r>
            <w:r>
              <w:rPr>
                <w:rFonts w:hint="eastAsia" w:ascii="宋体" w:hAnsi="宋体" w:cs="宋体"/>
                <w:color w:val="auto"/>
                <w:szCs w:val="21"/>
                <w:lang w:eastAsia="zh-CN"/>
              </w:rPr>
              <w:t>、</w:t>
            </w:r>
            <w:r>
              <w:rPr>
                <w:rFonts w:hint="eastAsia" w:ascii="宋体" w:hAnsi="宋体" w:eastAsia="宋体" w:cs="宋体"/>
                <w:color w:val="auto"/>
                <w:szCs w:val="21"/>
                <w:lang w:eastAsia="zh-CN"/>
              </w:rPr>
              <w:t>六氟化硫电气设备运行、试验及检修人员安全防护导则DL/T 639-2016</w:t>
            </w:r>
            <w:r>
              <w:rPr>
                <w:rFonts w:hint="eastAsia" w:ascii="宋体" w:hAnsi="宋体" w:cs="宋体"/>
                <w:color w:val="auto"/>
                <w:szCs w:val="21"/>
                <w:lang w:eastAsia="zh-CN"/>
              </w:rPr>
              <w:t>、</w:t>
            </w:r>
            <w:r>
              <w:rPr>
                <w:rFonts w:hint="eastAsia" w:ascii="宋体" w:hAnsi="宋体" w:eastAsia="宋体" w:cs="宋体"/>
                <w:color w:val="auto"/>
                <w:szCs w:val="21"/>
                <w:lang w:eastAsia="zh-CN"/>
              </w:rPr>
              <w:t>六氟化硫处理系统技术规范DL/T 1353-2014</w:t>
            </w:r>
            <w:r>
              <w:rPr>
                <w:rFonts w:hint="eastAsia" w:ascii="宋体" w:hAnsi="宋体" w:cs="宋体"/>
                <w:color w:val="auto"/>
                <w:szCs w:val="21"/>
                <w:lang w:eastAsia="zh-CN"/>
              </w:rPr>
              <w:t>、</w:t>
            </w:r>
            <w:r>
              <w:rPr>
                <w:rFonts w:hint="eastAsia" w:ascii="宋体" w:hAnsi="宋体" w:eastAsia="宋体" w:cs="宋体"/>
                <w:color w:val="auto"/>
                <w:szCs w:val="21"/>
                <w:lang w:eastAsia="zh-CN"/>
              </w:rPr>
              <w:t>电力设备用六氟化硫气体DL/T 1366-2014</w:t>
            </w:r>
            <w:r>
              <w:rPr>
                <w:rFonts w:hint="eastAsia" w:ascii="宋体" w:hAnsi="宋体" w:cs="宋体"/>
                <w:color w:val="auto"/>
                <w:szCs w:val="21"/>
                <w:lang w:eastAsia="zh-CN"/>
              </w:rPr>
              <w:t>、</w:t>
            </w:r>
            <w:r>
              <w:rPr>
                <w:rFonts w:hint="eastAsia" w:ascii="宋体" w:hAnsi="宋体" w:eastAsia="宋体" w:cs="宋体"/>
                <w:color w:val="auto"/>
                <w:szCs w:val="21"/>
                <w:lang w:eastAsia="zh-CN"/>
              </w:rPr>
              <w:t>六氟化硫气体净化处理工作规程DL/T 1553-2016</w:t>
            </w:r>
            <w:r>
              <w:rPr>
                <w:rFonts w:hint="eastAsia" w:ascii="宋体" w:hAnsi="宋体" w:cs="宋体"/>
                <w:color w:val="auto"/>
                <w:szCs w:val="21"/>
                <w:lang w:eastAsia="zh-CN"/>
              </w:rPr>
              <w:t>、</w:t>
            </w:r>
            <w:r>
              <w:rPr>
                <w:rFonts w:hint="eastAsia" w:ascii="宋体" w:hAnsi="宋体" w:eastAsia="宋体" w:cs="宋体"/>
                <w:color w:val="auto"/>
                <w:szCs w:val="21"/>
                <w:lang w:eastAsia="zh-CN"/>
              </w:rPr>
              <w:t>电气设备用六氟化硫气体回收、再生及再利用技术规范DL/T 1993-2019</w:t>
            </w:r>
            <w:r>
              <w:rPr>
                <w:rFonts w:hint="eastAsia" w:ascii="宋体" w:hAnsi="宋体" w:cs="宋体"/>
                <w:color w:val="auto"/>
                <w:szCs w:val="21"/>
                <w:lang w:eastAsia="zh-CN"/>
              </w:rPr>
              <w:t>、</w:t>
            </w:r>
            <w:r>
              <w:rPr>
                <w:rFonts w:hint="eastAsia" w:ascii="宋体" w:hAnsi="宋体" w:eastAsia="宋体" w:cs="宋体"/>
                <w:color w:val="auto"/>
                <w:szCs w:val="21"/>
                <w:lang w:eastAsia="zh-CN"/>
              </w:rPr>
              <w:t>电力安全工作规程 发电厂和变电站电气部分GB 26860-2011</w:t>
            </w:r>
            <w:r>
              <w:rPr>
                <w:rFonts w:hint="eastAsia" w:ascii="宋体" w:hAnsi="宋体" w:cs="宋体"/>
                <w:color w:val="auto"/>
                <w:szCs w:val="21"/>
                <w:lang w:eastAsia="zh-CN"/>
              </w:rPr>
              <w:t>、</w:t>
            </w:r>
            <w:r>
              <w:rPr>
                <w:rFonts w:hint="eastAsia" w:ascii="宋体" w:hAnsi="宋体" w:eastAsia="宋体" w:cs="宋体"/>
                <w:color w:val="auto"/>
                <w:szCs w:val="21"/>
                <w:lang w:eastAsia="zh-CN"/>
              </w:rPr>
              <w:t>电力安全设施配置技术规范 第1部分：变电站GB/T 36291.1-2018</w:t>
            </w:r>
            <w:r>
              <w:rPr>
                <w:rFonts w:hint="eastAsia" w:ascii="宋体" w:hAnsi="宋体" w:eastAsia="宋体" w:cs="宋体"/>
                <w:color w:val="auto"/>
                <w:szCs w:val="21"/>
              </w:rPr>
              <w:t>，编制了相应的过程文件：</w:t>
            </w:r>
          </w:p>
          <w:p>
            <w:pPr>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编制了六氟化硫净化服务流程：技术人员参加入网考核-合格后获得进站资格（工作证）-由队长统一安排进入变电站（严格遵守变电站安全规程）-准备前期工作（接地线、确认设备状态）-连接绝缘室与净化车-开机实施回收、提纯、净化-存储净化后气体（等待甲方保养绝缘室）-六氟化硫打入绝缘室-第三方检测-交付甲方</w:t>
            </w:r>
            <w:r>
              <w:rPr>
                <w:rFonts w:hint="eastAsia" w:ascii="宋体" w:hAnsi="宋体" w:cs="宋体"/>
                <w:color w:val="auto"/>
                <w:szCs w:val="21"/>
                <w:lang w:val="en-US" w:eastAsia="zh-CN"/>
              </w:rPr>
              <w:t>。</w:t>
            </w:r>
          </w:p>
          <w:p>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针对</w:t>
            </w:r>
            <w:r>
              <w:rPr>
                <w:rFonts w:hint="eastAsia" w:ascii="宋体" w:hAnsi="宋体" w:eastAsia="宋体" w:cs="宋体"/>
                <w:color w:val="auto"/>
                <w:szCs w:val="21"/>
                <w:lang w:val="en-US" w:eastAsia="zh-CN"/>
              </w:rPr>
              <w:t>六氟化硫净化服务</w:t>
            </w:r>
            <w:r>
              <w:rPr>
                <w:rFonts w:hint="eastAsia" w:ascii="宋体" w:hAnsi="宋体" w:eastAsia="宋体" w:cs="宋体"/>
                <w:color w:val="auto"/>
                <w:szCs w:val="21"/>
              </w:rPr>
              <w:t>过程制定了作业指导书</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六氟化硫净化</w:t>
            </w:r>
            <w:r>
              <w:rPr>
                <w:rFonts w:hint="eastAsia" w:ascii="宋体" w:hAnsi="宋体" w:cs="宋体"/>
                <w:color w:val="auto"/>
                <w:szCs w:val="21"/>
                <w:lang w:val="en-US" w:eastAsia="zh-CN"/>
              </w:rPr>
              <w:t>规范</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等。</w:t>
            </w:r>
            <w:r>
              <w:rPr>
                <w:rFonts w:hint="eastAsia" w:ascii="宋体" w:hAnsi="宋体" w:eastAsia="宋体" w:cs="宋体"/>
                <w:color w:val="auto"/>
                <w:szCs w:val="21"/>
              </w:rPr>
              <w:t>规定了</w:t>
            </w:r>
            <w:r>
              <w:rPr>
                <w:rFonts w:hint="eastAsia" w:ascii="宋体" w:hAnsi="宋体" w:eastAsia="宋体" w:cs="宋体"/>
                <w:color w:val="auto"/>
                <w:szCs w:val="21"/>
                <w:lang w:val="en-US" w:eastAsia="zh-CN"/>
              </w:rPr>
              <w:t>施工</w:t>
            </w:r>
            <w:r>
              <w:rPr>
                <w:rFonts w:hint="eastAsia" w:ascii="宋体" w:hAnsi="宋体" w:eastAsia="宋体" w:cs="宋体"/>
                <w:color w:val="auto"/>
                <w:szCs w:val="21"/>
              </w:rPr>
              <w:t>的验收准则；</w:t>
            </w:r>
          </w:p>
          <w:p>
            <w:pPr>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w:t>
            </w:r>
            <w:r>
              <w:rPr>
                <w:rFonts w:hint="eastAsia" w:ascii="宋体" w:hAnsi="宋体" w:cs="宋体"/>
                <w:color w:val="auto"/>
                <w:szCs w:val="21"/>
                <w:lang w:val="en-US" w:eastAsia="zh-CN"/>
              </w:rPr>
              <w:t>六氟化硫净化服务</w:t>
            </w:r>
            <w:r>
              <w:rPr>
                <w:rFonts w:hint="eastAsia" w:ascii="宋体" w:hAnsi="宋体" w:eastAsia="宋体" w:cs="宋体"/>
                <w:color w:val="auto"/>
                <w:szCs w:val="21"/>
                <w:lang w:val="en-US" w:eastAsia="zh-CN"/>
              </w:rPr>
              <w:t>设置了</w:t>
            </w:r>
            <w:r>
              <w:rPr>
                <w:rFonts w:hint="eastAsia" w:ascii="宋体" w:hAnsi="宋体"/>
                <w:color w:val="auto"/>
                <w:sz w:val="21"/>
                <w:szCs w:val="21"/>
                <w:lang w:val="en-US" w:eastAsia="zh-CN"/>
              </w:rPr>
              <w:t>相关的记录，详见技术部8.5.1条款</w:t>
            </w:r>
            <w:r>
              <w:rPr>
                <w:rFonts w:hint="eastAsia" w:ascii="宋体" w:hAnsi="宋体" w:eastAsia="宋体" w:cs="宋体"/>
                <w:color w:val="auto"/>
                <w:szCs w:val="21"/>
                <w:lang w:val="en-US" w:eastAsia="zh-CN"/>
              </w:rPr>
              <w:t>；</w:t>
            </w:r>
          </w:p>
          <w:p>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资源的提供（包括人力、物力、办公设备设施、通讯工具、</w:t>
            </w:r>
            <w:r>
              <w:rPr>
                <w:rFonts w:hint="eastAsia" w:ascii="宋体" w:hAnsi="宋体" w:cs="宋体"/>
                <w:color w:val="auto"/>
                <w:szCs w:val="21"/>
                <w:lang w:val="en-US" w:eastAsia="zh-CN"/>
              </w:rPr>
              <w:t>服务</w:t>
            </w:r>
            <w:r>
              <w:rPr>
                <w:rFonts w:hint="eastAsia" w:ascii="宋体" w:hAnsi="宋体" w:eastAsia="宋体" w:cs="宋体"/>
                <w:color w:val="auto"/>
                <w:szCs w:val="21"/>
                <w:lang w:val="en-US" w:eastAsia="zh-CN"/>
              </w:rPr>
              <w:t>所需的设备实施</w:t>
            </w:r>
            <w:r>
              <w:rPr>
                <w:rFonts w:hint="eastAsia" w:ascii="宋体" w:hAnsi="宋体" w:eastAsia="宋体" w:cs="宋体"/>
                <w:color w:val="auto"/>
                <w:szCs w:val="21"/>
              </w:rPr>
              <w:t>等）。</w:t>
            </w:r>
          </w:p>
          <w:p>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策划的输出适合于组织的运行。</w:t>
            </w:r>
          </w:p>
          <w:p>
            <w:pPr>
              <w:snapToGrid w:val="0"/>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对于非预期变更，及时进行潜在后果评审，并告知相关人员，目前未发生。经识别企业</w:t>
            </w:r>
            <w:r>
              <w:rPr>
                <w:rFonts w:hint="eastAsia" w:ascii="宋体" w:hAnsi="宋体" w:cs="宋体"/>
                <w:color w:val="auto"/>
                <w:szCs w:val="21"/>
                <w:lang w:val="en-US" w:eastAsia="zh-CN"/>
              </w:rPr>
              <w:t>暂无</w:t>
            </w:r>
            <w:r>
              <w:rPr>
                <w:rFonts w:hint="eastAsia" w:ascii="宋体" w:hAnsi="宋体" w:eastAsia="宋体" w:cs="宋体"/>
                <w:color w:val="auto"/>
                <w:szCs w:val="21"/>
              </w:rPr>
              <w:t>外包过程</w:t>
            </w:r>
            <w:r>
              <w:rPr>
                <w:rFonts w:hint="eastAsia" w:ascii="宋体" w:hAnsi="宋体" w:cs="宋体"/>
                <w:color w:val="auto"/>
                <w:szCs w:val="21"/>
                <w:lang w:eastAsia="zh-CN"/>
              </w:rPr>
              <w:t>。</w:t>
            </w: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173" w:type="dxa"/>
            <w:vAlign w:val="top"/>
          </w:tcPr>
          <w:p>
            <w:pPr>
              <w:snapToGrid w:val="0"/>
              <w:spacing w:line="360" w:lineRule="auto"/>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设计开发的控制</w:t>
            </w:r>
          </w:p>
        </w:tc>
        <w:tc>
          <w:tcPr>
            <w:tcW w:w="965" w:type="dxa"/>
            <w:vAlign w:val="top"/>
          </w:tcPr>
          <w:p>
            <w:pPr>
              <w:snapToGrid w:val="0"/>
              <w:spacing w:line="360" w:lineRule="auto"/>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Q8.3</w:t>
            </w:r>
          </w:p>
        </w:tc>
        <w:tc>
          <w:tcPr>
            <w:tcW w:w="10927" w:type="dxa"/>
            <w:vAlign w:val="top"/>
          </w:tcPr>
          <w:p>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因公司六氟化硫净化服务使用国家行业标准，不参与自行开发计量规程规范，故对GB/T19001-2016/ISO9001:2015《质量管理体系  要求》标准中8.3“管理和服务的设计和开发”条款的要求不适用。该调整既不影响公司确保其产品和服务合格的能力或责任，对增强顾客满意也不会产生影响。</w:t>
            </w:r>
          </w:p>
        </w:tc>
        <w:tc>
          <w:tcPr>
            <w:tcW w:w="732"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173" w:type="dxa"/>
            <w:vAlign w:val="top"/>
          </w:tcPr>
          <w:p>
            <w:pPr>
              <w:keepNext w:val="0"/>
              <w:keepLines w:val="0"/>
              <w:suppressLineNumbers w:val="0"/>
              <w:spacing w:before="0" w:beforeAutospacing="0" w:after="0" w:afterAutospacing="0"/>
              <w:ind w:left="0" w:leftChars="0" w:right="0" w:rightChars="0"/>
              <w:jc w:val="center"/>
              <w:rPr>
                <w:rFonts w:hint="eastAsia"/>
              </w:rPr>
            </w:pPr>
            <w:r>
              <w:rPr>
                <w:rFonts w:hint="eastAsia"/>
              </w:rPr>
              <w:t>生产和服务提供的控制</w:t>
            </w:r>
          </w:p>
          <w:p>
            <w:pPr>
              <w:pStyle w:val="2"/>
              <w:jc w:val="center"/>
              <w:rPr>
                <w:rFonts w:hint="eastAsia" w:eastAsiaTheme="minorEastAsia"/>
                <w:lang w:val="en-US" w:eastAsia="zh-CN"/>
              </w:rPr>
            </w:pPr>
            <w:r>
              <w:rPr>
                <w:rFonts w:hint="eastAsia" w:asciiTheme="minorEastAsia" w:hAnsiTheme="minorEastAsia" w:eastAsiaTheme="minorEastAsia" w:cstheme="minorEastAsia"/>
                <w:szCs w:val="21"/>
                <w:highlight w:val="none"/>
                <w:lang w:val="en-US" w:eastAsia="zh-CN"/>
              </w:rPr>
              <w:t>放行</w:t>
            </w:r>
          </w:p>
        </w:tc>
        <w:tc>
          <w:tcPr>
            <w:tcW w:w="965" w:type="dxa"/>
            <w:vAlign w:val="top"/>
          </w:tcPr>
          <w:p>
            <w:pPr>
              <w:keepNext w:val="0"/>
              <w:keepLines w:val="0"/>
              <w:suppressLineNumbers w:val="0"/>
              <w:spacing w:before="0" w:beforeAutospacing="0" w:after="0" w:afterAutospacing="0"/>
              <w:ind w:left="0" w:right="0"/>
              <w:rPr>
                <w:rFonts w:hint="eastAsia"/>
                <w:sz w:val="21"/>
                <w:szCs w:val="21"/>
              </w:rPr>
            </w:pPr>
            <w:r>
              <w:rPr>
                <w:rFonts w:hint="eastAsia"/>
                <w:sz w:val="21"/>
                <w:szCs w:val="21"/>
                <w:lang w:val="en-US" w:eastAsia="zh-CN"/>
              </w:rPr>
              <w:t>Q</w:t>
            </w:r>
            <w:r>
              <w:rPr>
                <w:rFonts w:hint="eastAsia"/>
                <w:sz w:val="21"/>
                <w:szCs w:val="21"/>
              </w:rPr>
              <w:t>8.5.1</w:t>
            </w:r>
          </w:p>
          <w:p>
            <w:pPr>
              <w:keepNext w:val="0"/>
              <w:keepLines w:val="0"/>
              <w:suppressLineNumbers w:val="0"/>
              <w:spacing w:before="0" w:beforeAutospacing="0" w:after="0" w:afterAutospacing="0" w:line="276" w:lineRule="auto"/>
              <w:ind w:left="0" w:right="0"/>
              <w:jc w:val="left"/>
              <w:rPr>
                <w:rFonts w:hint="eastAsia"/>
                <w:sz w:val="21"/>
                <w:szCs w:val="21"/>
              </w:rPr>
            </w:pPr>
            <w:r>
              <w:rPr>
                <w:rFonts w:hint="eastAsia"/>
                <w:sz w:val="21"/>
                <w:szCs w:val="21"/>
              </w:rPr>
              <w:t>a)、获得生产和服务的信息？</w:t>
            </w:r>
          </w:p>
          <w:p>
            <w:pPr>
              <w:keepNext w:val="0"/>
              <w:keepLines w:val="0"/>
              <w:suppressLineNumbers w:val="0"/>
              <w:spacing w:before="0" w:beforeAutospacing="0" w:after="0" w:afterAutospacing="0"/>
              <w:ind w:left="0" w:right="0"/>
              <w:rPr>
                <w:rFonts w:hint="eastAsia"/>
                <w:sz w:val="21"/>
                <w:szCs w:val="21"/>
                <w:lang w:val="en-US" w:eastAsia="zh-CN"/>
              </w:rPr>
            </w:pPr>
          </w:p>
          <w:p>
            <w:pPr>
              <w:keepNext w:val="0"/>
              <w:keepLines w:val="0"/>
              <w:suppressLineNumbers w:val="0"/>
              <w:spacing w:before="0" w:beforeAutospacing="0" w:after="0" w:afterAutospacing="0"/>
              <w:ind w:left="0" w:right="0"/>
              <w:rPr>
                <w:rFonts w:hint="eastAsia"/>
                <w:sz w:val="21"/>
                <w:szCs w:val="21"/>
                <w:lang w:val="en-US" w:eastAsia="zh-CN"/>
              </w:rPr>
            </w:pPr>
          </w:p>
          <w:p>
            <w:pPr>
              <w:keepNext w:val="0"/>
              <w:keepLines w:val="0"/>
              <w:suppressLineNumbers w:val="0"/>
              <w:spacing w:before="0" w:beforeAutospacing="0" w:after="0" w:afterAutospacing="0"/>
              <w:ind w:left="0" w:right="0"/>
              <w:rPr>
                <w:rFonts w:hint="eastAsia"/>
                <w:sz w:val="21"/>
                <w:szCs w:val="21"/>
                <w:lang w:val="en-US" w:eastAsia="zh-CN"/>
              </w:rPr>
            </w:pPr>
          </w:p>
          <w:p>
            <w:pPr>
              <w:keepNext w:val="0"/>
              <w:keepLines w:val="0"/>
              <w:suppressLineNumbers w:val="0"/>
              <w:spacing w:before="0" w:beforeAutospacing="0" w:after="0" w:afterAutospacing="0"/>
              <w:ind w:left="0" w:right="0"/>
              <w:rPr>
                <w:rFonts w:hint="eastAsia"/>
                <w:sz w:val="21"/>
                <w:szCs w:val="21"/>
                <w:lang w:val="en-US" w:eastAsia="zh-CN"/>
              </w:rPr>
            </w:pPr>
          </w:p>
          <w:p>
            <w:pPr>
              <w:keepNext w:val="0"/>
              <w:keepLines w:val="0"/>
              <w:suppressLineNumbers w:val="0"/>
              <w:spacing w:before="0" w:beforeAutospacing="0" w:after="0" w:afterAutospacing="0"/>
              <w:ind w:left="0" w:right="0"/>
              <w:rPr>
                <w:rFonts w:hint="eastAsia"/>
                <w:sz w:val="21"/>
                <w:szCs w:val="21"/>
                <w:lang w:val="en-US" w:eastAsia="zh-CN"/>
              </w:rPr>
            </w:pPr>
          </w:p>
          <w:p>
            <w:pPr>
              <w:keepNext w:val="0"/>
              <w:keepLines w:val="0"/>
              <w:suppressLineNumbers w:val="0"/>
              <w:spacing w:before="0" w:beforeAutospacing="0" w:after="0" w:afterAutospacing="0"/>
              <w:ind w:left="0" w:right="0"/>
              <w:rPr>
                <w:rFonts w:hint="eastAsia"/>
                <w:sz w:val="21"/>
                <w:szCs w:val="21"/>
                <w:lang w:val="en-US" w:eastAsia="zh-CN"/>
              </w:rPr>
            </w:pPr>
          </w:p>
          <w:p>
            <w:pPr>
              <w:keepNext w:val="0"/>
              <w:keepLines w:val="0"/>
              <w:suppressLineNumbers w:val="0"/>
              <w:spacing w:before="0" w:beforeAutospacing="0" w:after="0" w:afterAutospacing="0"/>
              <w:ind w:left="0" w:right="0"/>
              <w:rPr>
                <w:rFonts w:hint="eastAsia"/>
                <w:sz w:val="21"/>
                <w:szCs w:val="21"/>
                <w:lang w:val="en-US" w:eastAsia="zh-CN"/>
              </w:rPr>
            </w:pPr>
          </w:p>
          <w:p>
            <w:pPr>
              <w:keepNext w:val="0"/>
              <w:keepLines w:val="0"/>
              <w:suppressLineNumbers w:val="0"/>
              <w:spacing w:before="0" w:beforeAutospacing="0" w:after="0" w:afterAutospacing="0"/>
              <w:ind w:left="0" w:right="0"/>
              <w:rPr>
                <w:rFonts w:hint="eastAsia"/>
                <w:sz w:val="21"/>
                <w:szCs w:val="21"/>
                <w:lang w:val="en-US" w:eastAsia="zh-CN"/>
              </w:rPr>
            </w:pPr>
          </w:p>
          <w:p>
            <w:pPr>
              <w:keepNext w:val="0"/>
              <w:keepLines w:val="0"/>
              <w:suppressLineNumbers w:val="0"/>
              <w:spacing w:before="0" w:beforeAutospacing="0" w:after="0" w:afterAutospacing="0"/>
              <w:ind w:left="0" w:right="0"/>
              <w:rPr>
                <w:rFonts w:hint="eastAsia"/>
                <w:sz w:val="21"/>
                <w:szCs w:val="21"/>
                <w:lang w:val="en-US" w:eastAsia="zh-CN"/>
              </w:rPr>
            </w:pPr>
          </w:p>
          <w:p>
            <w:pPr>
              <w:keepNext w:val="0"/>
              <w:keepLines w:val="0"/>
              <w:suppressLineNumbers w:val="0"/>
              <w:spacing w:before="0" w:beforeAutospacing="0" w:after="0" w:afterAutospacing="0"/>
              <w:ind w:left="0" w:right="0"/>
              <w:rPr>
                <w:rFonts w:hint="eastAsia"/>
                <w:sz w:val="21"/>
                <w:szCs w:val="21"/>
                <w:lang w:val="en-US" w:eastAsia="zh-CN"/>
              </w:rPr>
            </w:pPr>
          </w:p>
          <w:p>
            <w:pPr>
              <w:keepNext w:val="0"/>
              <w:keepLines w:val="0"/>
              <w:suppressLineNumbers w:val="0"/>
              <w:spacing w:before="0" w:beforeAutospacing="0" w:after="0" w:afterAutospacing="0"/>
              <w:ind w:left="0" w:right="0"/>
              <w:rPr>
                <w:rFonts w:hint="eastAsia"/>
                <w:sz w:val="21"/>
                <w:szCs w:val="21"/>
                <w:lang w:val="en-US" w:eastAsia="zh-CN"/>
              </w:rPr>
            </w:pPr>
          </w:p>
          <w:p>
            <w:pPr>
              <w:pStyle w:val="2"/>
              <w:keepNext w:val="0"/>
              <w:keepLines w:val="0"/>
              <w:suppressLineNumbers w:val="0"/>
              <w:spacing w:before="0" w:beforeAutospacing="0" w:after="0" w:afterAutospacing="0"/>
              <w:ind w:left="0" w:right="0"/>
              <w:rPr>
                <w:rFonts w:hint="eastAsia"/>
                <w:sz w:val="21"/>
                <w:szCs w:val="21"/>
                <w:lang w:val="en-US" w:eastAsia="zh-CN"/>
              </w:rPr>
            </w:pPr>
          </w:p>
          <w:p>
            <w:pPr>
              <w:keepNext w:val="0"/>
              <w:keepLines w:val="0"/>
              <w:suppressLineNumbers w:val="0"/>
              <w:spacing w:before="0" w:beforeAutospacing="0" w:after="0" w:afterAutospacing="0"/>
              <w:ind w:left="0" w:right="0"/>
              <w:rPr>
                <w:rFonts w:hint="eastAsia"/>
                <w:sz w:val="21"/>
                <w:szCs w:val="21"/>
              </w:rPr>
            </w:pPr>
            <w:r>
              <w:rPr>
                <w:rFonts w:hint="eastAsia"/>
                <w:sz w:val="21"/>
                <w:szCs w:val="21"/>
              </w:rPr>
              <w:t>b）、获得和使用适宜的监视和测量资源？</w:t>
            </w: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r>
              <w:rPr>
                <w:rFonts w:hint="eastAsia"/>
                <w:sz w:val="21"/>
                <w:szCs w:val="21"/>
              </w:rPr>
              <w:t>c）、实施监视和测量及过程放行的控制？</w:t>
            </w: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line="276" w:lineRule="auto"/>
              <w:ind w:left="0" w:right="0"/>
              <w:jc w:val="left"/>
              <w:rPr>
                <w:rFonts w:hint="eastAsia"/>
                <w:sz w:val="21"/>
                <w:szCs w:val="21"/>
              </w:rPr>
            </w:pPr>
            <w:r>
              <w:rPr>
                <w:rFonts w:hint="eastAsia"/>
                <w:sz w:val="21"/>
                <w:szCs w:val="21"/>
              </w:rPr>
              <w:t>d）、使用适宜的基础设施及工作环境的符性？</w:t>
            </w:r>
          </w:p>
          <w:p>
            <w:pPr>
              <w:keepNext w:val="0"/>
              <w:keepLines w:val="0"/>
              <w:suppressLineNumbers w:val="0"/>
              <w:spacing w:before="0" w:beforeAutospacing="0" w:after="0" w:afterAutospacing="0"/>
              <w:ind w:left="0" w:right="0"/>
              <w:rPr>
                <w:rFonts w:hint="eastAsia"/>
                <w:sz w:val="21"/>
                <w:szCs w:val="21"/>
                <w:lang w:val="en-US" w:eastAsia="zh-CN"/>
              </w:rPr>
            </w:pPr>
          </w:p>
          <w:p>
            <w:pPr>
              <w:keepNext w:val="0"/>
              <w:keepLines w:val="0"/>
              <w:suppressLineNumbers w:val="0"/>
              <w:spacing w:before="0" w:beforeAutospacing="0" w:after="0" w:afterAutospacing="0"/>
              <w:ind w:left="0" w:right="0"/>
              <w:rPr>
                <w:rFonts w:hint="eastAsia"/>
                <w:sz w:val="21"/>
                <w:szCs w:val="21"/>
                <w:lang w:val="en-US" w:eastAsia="zh-CN"/>
              </w:rPr>
            </w:pPr>
          </w:p>
          <w:p>
            <w:pPr>
              <w:pStyle w:val="2"/>
              <w:keepNext w:val="0"/>
              <w:keepLines w:val="0"/>
              <w:suppressLineNumbers w:val="0"/>
              <w:spacing w:before="0" w:beforeAutospacing="0" w:after="0" w:afterAutospacing="0"/>
              <w:ind w:left="0" w:right="0"/>
              <w:rPr>
                <w:rFonts w:hint="eastAsia"/>
                <w:sz w:val="21"/>
                <w:szCs w:val="21"/>
                <w:lang w:val="en-US" w:eastAsia="zh-CN"/>
              </w:rPr>
            </w:pPr>
          </w:p>
          <w:p>
            <w:pPr>
              <w:keepNext w:val="0"/>
              <w:keepLines w:val="0"/>
              <w:suppressLineNumbers w:val="0"/>
              <w:spacing w:before="0" w:beforeAutospacing="0" w:after="0" w:afterAutospacing="0"/>
              <w:ind w:left="0" w:right="0"/>
              <w:rPr>
                <w:rFonts w:hint="eastAsia"/>
                <w:sz w:val="21"/>
                <w:szCs w:val="21"/>
              </w:rPr>
            </w:pPr>
            <w:r>
              <w:rPr>
                <w:rFonts w:hint="eastAsia"/>
                <w:sz w:val="21"/>
                <w:szCs w:val="21"/>
              </w:rPr>
              <w:t>e）、人员的能力能否满足要求？</w:t>
            </w:r>
          </w:p>
          <w:p>
            <w:pPr>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line="276" w:lineRule="auto"/>
              <w:ind w:left="0" w:right="0"/>
              <w:rPr>
                <w:rFonts w:hint="eastAsia"/>
                <w:sz w:val="21"/>
                <w:szCs w:val="21"/>
                <w:lang w:eastAsia="zh-CN"/>
              </w:rPr>
            </w:pPr>
            <w:r>
              <w:rPr>
                <w:rFonts w:hint="eastAsia"/>
                <w:sz w:val="21"/>
                <w:szCs w:val="21"/>
              </w:rPr>
              <w:t>f）、 服务提供需确认过程控制现状的符合性</w:t>
            </w:r>
            <w:r>
              <w:rPr>
                <w:rFonts w:hint="eastAsia"/>
                <w:sz w:val="21"/>
                <w:szCs w:val="21"/>
                <w:lang w:eastAsia="zh-CN"/>
              </w:rPr>
              <w:t>？</w:t>
            </w:r>
          </w:p>
          <w:p>
            <w:pPr>
              <w:pStyle w:val="2"/>
              <w:keepNext w:val="0"/>
              <w:keepLines w:val="0"/>
              <w:suppressLineNumbers w:val="0"/>
              <w:spacing w:before="0" w:beforeAutospacing="0" w:after="0" w:afterAutospacing="0"/>
              <w:ind w:left="0" w:right="0"/>
              <w:rPr>
                <w:rFonts w:hint="eastAsia"/>
                <w:sz w:val="21"/>
                <w:szCs w:val="21"/>
                <w:lang w:eastAsia="zh-CN"/>
              </w:rPr>
            </w:pPr>
          </w:p>
          <w:p>
            <w:pPr>
              <w:keepNext w:val="0"/>
              <w:keepLines w:val="0"/>
              <w:suppressLineNumbers w:val="0"/>
              <w:spacing w:before="0" w:beforeAutospacing="0" w:after="0" w:afterAutospacing="0"/>
              <w:ind w:left="0" w:right="0"/>
              <w:jc w:val="left"/>
              <w:rPr>
                <w:rFonts w:hint="eastAsia"/>
                <w:sz w:val="21"/>
                <w:szCs w:val="21"/>
              </w:rPr>
            </w:pPr>
            <w:r>
              <w:rPr>
                <w:rFonts w:hint="eastAsia"/>
                <w:sz w:val="21"/>
                <w:szCs w:val="21"/>
              </w:rPr>
              <w:t>g）、采取措施防止人为错误？</w:t>
            </w: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pStyle w:val="2"/>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line="276" w:lineRule="auto"/>
              <w:ind w:left="0" w:leftChars="0" w:right="0" w:rightChars="0"/>
              <w:jc w:val="left"/>
              <w:rPr>
                <w:rFonts w:hint="eastAsia"/>
                <w:sz w:val="21"/>
                <w:szCs w:val="21"/>
              </w:rPr>
            </w:pPr>
            <w:r>
              <w:rPr>
                <w:rFonts w:hint="eastAsia"/>
                <w:sz w:val="21"/>
                <w:szCs w:val="21"/>
              </w:rPr>
              <w:t>h)、产品放行、交付及交付后的活动？</w:t>
            </w:r>
          </w:p>
          <w:p>
            <w:pPr>
              <w:pStyle w:val="2"/>
              <w:rPr>
                <w:rFonts w:hint="eastAsia"/>
                <w:sz w:val="21"/>
                <w:szCs w:val="21"/>
              </w:rPr>
            </w:pPr>
          </w:p>
          <w:p>
            <w:pPr>
              <w:pStyle w:val="3"/>
              <w:rPr>
                <w:rFonts w:hint="eastAsia"/>
                <w:sz w:val="21"/>
                <w:szCs w:val="21"/>
              </w:rPr>
            </w:pPr>
          </w:p>
          <w:p>
            <w:pPr>
              <w:pStyle w:val="5"/>
              <w:rPr>
                <w:rFonts w:hint="eastAsia"/>
                <w:sz w:val="21"/>
                <w:szCs w:val="21"/>
              </w:rPr>
            </w:pPr>
          </w:p>
          <w:p>
            <w:pPr>
              <w:rPr>
                <w:rFonts w:hint="eastAsia"/>
                <w:sz w:val="21"/>
                <w:szCs w:val="21"/>
              </w:rPr>
            </w:pPr>
          </w:p>
          <w:p>
            <w:pPr>
              <w:pStyle w:val="2"/>
              <w:rPr>
                <w:rFonts w:hint="eastAsia"/>
                <w:sz w:val="21"/>
                <w:szCs w:val="21"/>
              </w:rPr>
            </w:pPr>
          </w:p>
          <w:p>
            <w:pPr>
              <w:pStyle w:val="3"/>
              <w:rPr>
                <w:rFonts w:hint="eastAsia"/>
                <w:sz w:val="21"/>
                <w:szCs w:val="21"/>
              </w:rPr>
            </w:pPr>
          </w:p>
          <w:p>
            <w:pPr>
              <w:pStyle w:val="5"/>
              <w:ind w:left="0" w:leftChars="0" w:firstLine="0" w:firstLineChars="0"/>
              <w:rPr>
                <w:rFonts w:hint="default" w:eastAsiaTheme="minorEastAsia"/>
                <w:sz w:val="21"/>
                <w:szCs w:val="21"/>
                <w:lang w:val="en-US" w:eastAsia="zh-CN"/>
              </w:rPr>
            </w:pPr>
            <w:r>
              <w:rPr>
                <w:rFonts w:hint="eastAsia" w:asciiTheme="minorEastAsia" w:hAnsiTheme="minorEastAsia" w:eastAsiaTheme="minorEastAsia" w:cstheme="minorEastAsia"/>
                <w:sz w:val="21"/>
                <w:szCs w:val="21"/>
                <w:lang w:val="en-US" w:eastAsia="zh-CN"/>
              </w:rPr>
              <w:t>Q8.6放行</w:t>
            </w:r>
          </w:p>
        </w:tc>
        <w:tc>
          <w:tcPr>
            <w:tcW w:w="10927" w:type="dxa"/>
            <w:vAlign w:val="top"/>
          </w:tcPr>
          <w:p>
            <w:pPr>
              <w:keepNext w:val="0"/>
              <w:keepLines w:val="0"/>
              <w:numPr>
                <w:ilvl w:val="0"/>
                <w:numId w:val="0"/>
              </w:numPr>
              <w:suppressLineNumbers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查公司Q：</w:t>
            </w:r>
            <w:r>
              <w:rPr>
                <w:rFonts w:hint="eastAsia" w:asciiTheme="minorEastAsia" w:hAnsiTheme="minorEastAsia" w:eastAsiaTheme="minorEastAsia" w:cstheme="minorEastAsia"/>
                <w:b/>
                <w:bCs/>
                <w:sz w:val="21"/>
                <w:szCs w:val="21"/>
                <w:lang w:eastAsia="zh-CN"/>
              </w:rPr>
              <w:t>六氟化硫净化服务</w:t>
            </w:r>
            <w:r>
              <w:rPr>
                <w:rFonts w:hint="eastAsia" w:asciiTheme="minorEastAsia" w:hAnsiTheme="minorEastAsia" w:eastAsiaTheme="minorEastAsia" w:cstheme="minorEastAsia"/>
                <w:sz w:val="21"/>
                <w:szCs w:val="21"/>
                <w:lang w:val="en-US" w:eastAsia="zh-CN"/>
              </w:rPr>
              <w:t>相关内容如下：</w:t>
            </w:r>
          </w:p>
          <w:p>
            <w:pPr>
              <w:keepNext w:val="0"/>
              <w:keepLines w:val="0"/>
              <w:numPr>
                <w:ilvl w:val="0"/>
                <w:numId w:val="0"/>
              </w:numPr>
              <w:suppressLineNumbers w:val="0"/>
              <w:spacing w:before="0" w:beforeAutospacing="0" w:after="0" w:afterAutospacing="0" w:line="360" w:lineRule="auto"/>
              <w:ind w:left="0" w:right="0" w:firstLine="422"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a)、</w:t>
            </w:r>
            <w:r>
              <w:rPr>
                <w:rFonts w:hint="eastAsia" w:asciiTheme="minorEastAsia" w:hAnsiTheme="minorEastAsia" w:eastAsiaTheme="minorEastAsia" w:cstheme="minorEastAsia"/>
                <w:sz w:val="21"/>
                <w:szCs w:val="21"/>
                <w:lang w:val="en-US" w:eastAsia="zh-CN"/>
              </w:rPr>
              <w:t>公司从事</w:t>
            </w:r>
            <w:r>
              <w:rPr>
                <w:rFonts w:hint="eastAsia" w:asciiTheme="minorEastAsia" w:hAnsiTheme="minorEastAsia" w:eastAsiaTheme="minorEastAsia" w:cstheme="minorEastAsia"/>
                <w:sz w:val="21"/>
                <w:szCs w:val="21"/>
                <w:lang w:eastAsia="zh-CN"/>
              </w:rPr>
              <w:t>六氟化硫净化服务通常依据客户技术要求、</w:t>
            </w:r>
            <w:r>
              <w:rPr>
                <w:rFonts w:hint="eastAsia" w:ascii="宋体" w:hAnsi="宋体" w:eastAsia="宋体" w:cs="宋体"/>
                <w:color w:val="auto"/>
                <w:szCs w:val="21"/>
                <w:lang w:eastAsia="zh-CN"/>
              </w:rPr>
              <w:t>六氟化硫气体回收装置技术条件 第1部分：六氟化硫气体回收装置DL/T 662.1-2021</w:t>
            </w:r>
            <w:r>
              <w:rPr>
                <w:rFonts w:hint="eastAsia" w:ascii="宋体" w:hAnsi="宋体" w:cs="宋体"/>
                <w:color w:val="auto"/>
                <w:szCs w:val="21"/>
                <w:lang w:eastAsia="zh-CN"/>
              </w:rPr>
              <w:t>、</w:t>
            </w:r>
            <w:r>
              <w:rPr>
                <w:rFonts w:hint="eastAsia" w:ascii="宋体" w:hAnsi="宋体" w:eastAsia="宋体" w:cs="宋体"/>
                <w:color w:val="auto"/>
                <w:szCs w:val="21"/>
                <w:lang w:eastAsia="zh-CN"/>
              </w:rPr>
              <w:t>六氟化硫电气设备运行、试验及检修人员安全防护导则DL/T 639-2016</w:t>
            </w:r>
            <w:r>
              <w:rPr>
                <w:rFonts w:hint="eastAsia" w:ascii="宋体" w:hAnsi="宋体" w:cs="宋体"/>
                <w:color w:val="auto"/>
                <w:szCs w:val="21"/>
                <w:lang w:eastAsia="zh-CN"/>
              </w:rPr>
              <w:t>、</w:t>
            </w:r>
            <w:r>
              <w:rPr>
                <w:rFonts w:hint="eastAsia" w:ascii="宋体" w:hAnsi="宋体" w:eastAsia="宋体" w:cs="宋体"/>
                <w:color w:val="auto"/>
                <w:szCs w:val="21"/>
                <w:lang w:eastAsia="zh-CN"/>
              </w:rPr>
              <w:t>六氟化硫处理系统技术规范DL/T 1353-2014</w:t>
            </w:r>
            <w:r>
              <w:rPr>
                <w:rFonts w:hint="eastAsia" w:ascii="宋体" w:hAnsi="宋体" w:cs="宋体"/>
                <w:color w:val="auto"/>
                <w:szCs w:val="21"/>
                <w:lang w:eastAsia="zh-CN"/>
              </w:rPr>
              <w:t>、</w:t>
            </w:r>
            <w:r>
              <w:rPr>
                <w:rFonts w:hint="eastAsia" w:ascii="宋体" w:hAnsi="宋体" w:eastAsia="宋体" w:cs="宋体"/>
                <w:color w:val="auto"/>
                <w:szCs w:val="21"/>
                <w:lang w:eastAsia="zh-CN"/>
              </w:rPr>
              <w:t>电力设备用六氟化硫气体DL/T 1366-2014</w:t>
            </w:r>
            <w:r>
              <w:rPr>
                <w:rFonts w:hint="eastAsia" w:ascii="宋体" w:hAnsi="宋体" w:cs="宋体"/>
                <w:color w:val="auto"/>
                <w:szCs w:val="21"/>
                <w:lang w:eastAsia="zh-CN"/>
              </w:rPr>
              <w:t>、</w:t>
            </w:r>
            <w:r>
              <w:rPr>
                <w:rFonts w:hint="eastAsia" w:ascii="宋体" w:hAnsi="宋体" w:eastAsia="宋体" w:cs="宋体"/>
                <w:color w:val="auto"/>
                <w:szCs w:val="21"/>
                <w:lang w:eastAsia="zh-CN"/>
              </w:rPr>
              <w:t>六氟化硫气体净化处理工作规程DL/T 1553-2016</w:t>
            </w:r>
            <w:r>
              <w:rPr>
                <w:rFonts w:hint="eastAsia" w:ascii="宋体" w:hAnsi="宋体" w:cs="宋体"/>
                <w:color w:val="auto"/>
                <w:szCs w:val="21"/>
                <w:lang w:eastAsia="zh-CN"/>
              </w:rPr>
              <w:t>、</w:t>
            </w:r>
            <w:r>
              <w:rPr>
                <w:rFonts w:hint="eastAsia" w:ascii="宋体" w:hAnsi="宋体" w:eastAsia="宋体" w:cs="宋体"/>
                <w:color w:val="auto"/>
                <w:szCs w:val="21"/>
                <w:lang w:eastAsia="zh-CN"/>
              </w:rPr>
              <w:t>电气设备用六氟化硫气体回收、再生及再利用技术规范DL/T 1993-2019</w:t>
            </w:r>
            <w:r>
              <w:rPr>
                <w:rFonts w:hint="eastAsia" w:ascii="宋体" w:hAnsi="宋体" w:cs="宋体"/>
                <w:color w:val="auto"/>
                <w:szCs w:val="21"/>
                <w:lang w:eastAsia="zh-CN"/>
              </w:rPr>
              <w:t>、</w:t>
            </w:r>
            <w:r>
              <w:rPr>
                <w:rFonts w:hint="eastAsia" w:ascii="宋体" w:hAnsi="宋体" w:eastAsia="宋体" w:cs="宋体"/>
                <w:color w:val="auto"/>
                <w:szCs w:val="21"/>
                <w:lang w:eastAsia="zh-CN"/>
              </w:rPr>
              <w:t>电力安全工作规程 发电厂和变电站电气部分GB 26860-2011</w:t>
            </w:r>
            <w:r>
              <w:rPr>
                <w:rFonts w:hint="eastAsia" w:ascii="宋体" w:hAnsi="宋体" w:cs="宋体"/>
                <w:color w:val="auto"/>
                <w:szCs w:val="21"/>
                <w:lang w:eastAsia="zh-CN"/>
              </w:rPr>
              <w:t>、</w:t>
            </w:r>
            <w:r>
              <w:rPr>
                <w:rFonts w:hint="eastAsia" w:ascii="宋体" w:hAnsi="宋体" w:eastAsia="宋体" w:cs="宋体"/>
                <w:color w:val="auto"/>
                <w:szCs w:val="21"/>
                <w:lang w:eastAsia="zh-CN"/>
              </w:rPr>
              <w:t>电力安全设施配置技术规范 第1部分：变电站GB/T 36291.1-2018</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lang w:eastAsia="zh-CN"/>
              </w:rPr>
              <w:t>进行</w:t>
            </w:r>
            <w:r>
              <w:rPr>
                <w:rFonts w:hint="eastAsia" w:asciiTheme="minorEastAsia" w:hAnsiTheme="minorEastAsia" w:eastAsiaTheme="minorEastAsia" w:cstheme="minorEastAsia"/>
                <w:sz w:val="21"/>
                <w:szCs w:val="21"/>
                <w:lang w:val="en-US" w:eastAsia="zh-CN"/>
              </w:rPr>
              <w:t>维护服务</w:t>
            </w:r>
            <w:r>
              <w:rPr>
                <w:rFonts w:hint="eastAsia" w:asciiTheme="minorEastAsia" w:hAnsiTheme="minorEastAsia" w:eastAsiaTheme="minorEastAsia" w:cstheme="minorEastAsia"/>
                <w:sz w:val="21"/>
                <w:szCs w:val="21"/>
              </w:rPr>
              <w:t>。</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eastAsiaTheme="minorEastAsia" w:cstheme="minorEastAsia"/>
                <w:sz w:val="21"/>
                <w:szCs w:val="21"/>
              </w:rPr>
            </w:pPr>
            <w:r>
              <w:rPr>
                <w:rFonts w:hint="eastAsia" w:ascii="宋体" w:hAnsi="宋体" w:eastAsia="宋体" w:cs="宋体"/>
                <w:color w:val="auto"/>
                <w:szCs w:val="21"/>
                <w:lang w:val="en-US" w:eastAsia="zh-CN"/>
              </w:rPr>
              <w:t>六氟化硫净化服务流程：技术人员参加入网考核-合格后获得进站资格（工作证）-由队长统一安排进入变电站（严格遵守变电站安全规程）-准备前期工作（接地线、确认设备状态）-连接绝缘室与净化车-开机实施回收、提纯、净化-存储净化后气体（等待甲方保养绝缘室）-六氟化硫打入绝缘室-第三方检测-交付甲方</w:t>
            </w:r>
            <w:r>
              <w:rPr>
                <w:rFonts w:hint="eastAsia" w:ascii="宋体" w:hAnsi="宋体" w:cs="宋体"/>
                <w:color w:val="auto"/>
                <w:szCs w:val="21"/>
                <w:lang w:val="en-US" w:eastAsia="zh-CN"/>
              </w:rPr>
              <w:t>。</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公司编制有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六氟化硫净化规范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《六氟化硫净化系统运行记录》、《现场工作流程确认单》、《CIS的SH6气体回收处理确认单》、《外部工程竣工报告》</w:t>
            </w:r>
            <w:r>
              <w:rPr>
                <w:rFonts w:hint="eastAsia" w:asciiTheme="minorEastAsia" w:hAnsiTheme="minorEastAsia" w:eastAsiaTheme="minorEastAsia" w:cstheme="minorEastAsia"/>
                <w:sz w:val="21"/>
                <w:szCs w:val="21"/>
              </w:rPr>
              <w:t>可以指导并规范员工的实际操作。</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查看</w:t>
            </w:r>
            <w:r>
              <w:rPr>
                <w:rFonts w:hint="eastAsia" w:asciiTheme="minorEastAsia" w:hAnsiTheme="minorEastAsia" w:eastAsiaTheme="minorEastAsia" w:cstheme="minorEastAsia"/>
                <w:sz w:val="21"/>
                <w:szCs w:val="21"/>
                <w:lang w:val="en-US" w:eastAsia="zh-CN"/>
              </w:rPr>
              <w:t>公司与客户西安西开电力装备智慧服务有限公司</w:t>
            </w:r>
            <w:r>
              <w:rPr>
                <w:rFonts w:hint="eastAsia" w:asciiTheme="minorEastAsia" w:hAnsiTheme="minorEastAsia" w:eastAsiaTheme="minorEastAsia" w:cstheme="minorEastAsia"/>
                <w:color w:val="auto"/>
                <w:sz w:val="21"/>
                <w:szCs w:val="21"/>
                <w:lang w:val="en-US" w:eastAsia="zh-CN"/>
              </w:rPr>
              <w:t>签订的六氟化硫净化服务合同，内容包含</w:t>
            </w:r>
            <w:r>
              <w:rPr>
                <w:rFonts w:hint="eastAsia" w:eastAsia="宋体"/>
                <w:color w:val="auto"/>
                <w:lang w:val="en-US" w:eastAsia="zh-CN"/>
              </w:rPr>
              <w:t>甲方委托乙方为甲方或甲方业主提供SF</w:t>
            </w:r>
            <w:r>
              <w:rPr>
                <w:rFonts w:hint="eastAsia" w:eastAsia="宋体"/>
                <w:color w:val="auto"/>
                <w:vertAlign w:val="subscript"/>
                <w:lang w:val="en-US" w:eastAsia="zh-CN"/>
              </w:rPr>
              <w:t>6</w:t>
            </w:r>
            <w:r>
              <w:rPr>
                <w:rFonts w:hint="eastAsia" w:eastAsia="宋体"/>
                <w:color w:val="auto"/>
                <w:lang w:val="en-US" w:eastAsia="zh-CN"/>
              </w:rPr>
              <w:t>气体回收处理等服务，乙方根据甲方需要完成前述现场委外业务工作。乙方提供服务按实际服务天数和服务内容核算。以甲方确认的《现场完工确认单》作为核算依据。乙方对全部服务质量负责。</w:t>
            </w:r>
          </w:p>
          <w:p>
            <w:pPr>
              <w:keepNext w:val="0"/>
              <w:keepLines w:val="0"/>
              <w:suppressLineNumbers w:val="0"/>
              <w:tabs>
                <w:tab w:val="left" w:pos="-52"/>
              </w:tabs>
              <w:spacing w:before="0" w:beforeAutospacing="0" w:after="0" w:afterAutospacing="0" w:line="360" w:lineRule="auto"/>
              <w:ind w:left="0" w:right="0"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b)、公司编制的“监视和测量资源控制程序”，规定了监视和测</w:t>
            </w:r>
            <w:r>
              <w:rPr>
                <w:rFonts w:hint="eastAsia" w:asciiTheme="minorEastAsia" w:hAnsiTheme="minorEastAsia" w:eastAsiaTheme="minorEastAsia" w:cstheme="minorEastAsia"/>
                <w:sz w:val="21"/>
                <w:szCs w:val="21"/>
              </w:rPr>
              <w:t>量资源的管理要求。公司为</w:t>
            </w:r>
            <w:r>
              <w:rPr>
                <w:rFonts w:hint="eastAsia" w:asciiTheme="minorEastAsia" w:hAnsiTheme="minorEastAsia" w:eastAsiaTheme="minorEastAsia" w:cstheme="minorEastAsia"/>
                <w:sz w:val="21"/>
                <w:szCs w:val="21"/>
                <w:lang w:val="en-US" w:eastAsia="zh-CN"/>
              </w:rPr>
              <w:t>净化</w:t>
            </w:r>
            <w:r>
              <w:rPr>
                <w:rFonts w:hint="eastAsia" w:asciiTheme="minorEastAsia" w:hAnsiTheme="minorEastAsia" w:eastAsiaTheme="minorEastAsia" w:cstheme="minorEastAsia"/>
                <w:sz w:val="21"/>
                <w:szCs w:val="21"/>
              </w:rPr>
              <w:t>检测配置了相应</w:t>
            </w:r>
            <w:r>
              <w:rPr>
                <w:rFonts w:hint="eastAsia" w:asciiTheme="minorEastAsia" w:hAnsiTheme="minorEastAsia" w:eastAsiaTheme="minorEastAsia" w:cstheme="minorEastAsia"/>
                <w:sz w:val="21"/>
                <w:szCs w:val="21"/>
                <w:lang w:val="en-US" w:eastAsia="zh-CN"/>
              </w:rPr>
              <w:t>监测设备，主要为监测钢瓶出入口压力值</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压力表通过西安硕隆</w:t>
            </w:r>
            <w:r>
              <w:rPr>
                <w:rFonts w:hint="eastAsia" w:asciiTheme="minorEastAsia" w:hAnsiTheme="minorEastAsia" w:eastAsiaTheme="minorEastAsia" w:cstheme="minorEastAsia"/>
                <w:color w:val="auto"/>
                <w:sz w:val="21"/>
                <w:szCs w:val="21"/>
              </w:rPr>
              <w:t>上述监视和测量设备</w:t>
            </w:r>
            <w:r>
              <w:rPr>
                <w:rFonts w:hint="eastAsia" w:asciiTheme="minorEastAsia" w:hAnsiTheme="minorEastAsia" w:eastAsiaTheme="minorEastAsia" w:cstheme="minorEastAsia"/>
                <w:color w:val="auto"/>
                <w:sz w:val="21"/>
                <w:szCs w:val="21"/>
                <w:lang w:val="en-US" w:eastAsia="zh-CN"/>
              </w:rPr>
              <w:t>能</w:t>
            </w:r>
            <w:r>
              <w:rPr>
                <w:rFonts w:hint="eastAsia" w:asciiTheme="minorEastAsia" w:hAnsiTheme="minorEastAsia" w:eastAsiaTheme="minorEastAsia" w:cstheme="minorEastAsia"/>
                <w:color w:val="auto"/>
                <w:sz w:val="21"/>
                <w:szCs w:val="21"/>
              </w:rPr>
              <w:t>满足产品测量需求。</w:t>
            </w:r>
          </w:p>
          <w:p>
            <w:pPr>
              <w:keepNext w:val="0"/>
              <w:keepLines w:val="0"/>
              <w:suppressLineNumbers w:val="0"/>
              <w:tabs>
                <w:tab w:val="left" w:pos="-52"/>
              </w:tabs>
              <w:spacing w:before="0" w:beforeAutospacing="0" w:after="0" w:afterAutospacing="0" w:line="360" w:lineRule="auto"/>
              <w:ind w:left="0" w:right="0" w:firstLine="316" w:firstLineChars="15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sz w:val="21"/>
                <w:szCs w:val="21"/>
                <w:lang w:val="en-US" w:eastAsia="zh-CN"/>
              </w:rPr>
              <w:t>c</w:t>
            </w:r>
            <w:r>
              <w:rPr>
                <w:rFonts w:hint="eastAsia" w:asciiTheme="minorEastAsia" w:hAnsiTheme="minorEastAsia" w:eastAsiaTheme="minorEastAsia" w:cstheme="minorEastAsia"/>
                <w:b/>
                <w:bCs/>
                <w:sz w:val="21"/>
                <w:szCs w:val="21"/>
              </w:rPr>
              <w:t>)、</w:t>
            </w:r>
          </w:p>
          <w:p>
            <w:pPr>
              <w:pStyle w:val="2"/>
              <w:ind w:firstLine="42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技术人员进入变电站前需进行安全培训，考核合格后方可进入变电站施工。</w:t>
            </w:r>
          </w:p>
          <w:p>
            <w:pPr>
              <w:pStyle w:val="3"/>
              <w:ind w:firstLine="420"/>
              <w:rPr>
                <w:rFonts w:hint="default"/>
                <w:lang w:val="en-US" w:eastAsia="zh-CN"/>
              </w:rPr>
            </w:pPr>
            <w:r>
              <w:drawing>
                <wp:anchor distT="0" distB="0" distL="0" distR="0" simplePos="0" relativeHeight="251662336" behindDoc="0" locked="0" layoutInCell="1" allowOverlap="1">
                  <wp:simplePos x="0" y="0"/>
                  <wp:positionH relativeFrom="column">
                    <wp:posOffset>476250</wp:posOffset>
                  </wp:positionH>
                  <wp:positionV relativeFrom="paragraph">
                    <wp:posOffset>123190</wp:posOffset>
                  </wp:positionV>
                  <wp:extent cx="2889250" cy="1685925"/>
                  <wp:effectExtent l="0" t="0" r="6350" b="3175"/>
                  <wp:wrapNone/>
                  <wp:docPr id="16" name="图片 16" descr="C:\Users\ADMINI~1\AppData\Local\Temp\WeChat Files\1e3f548f4ae21570f46c1ebaf44ab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1\AppData\Local\Temp\WeChat Files\1e3f548f4ae21570f46c1ebaf44abd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89250" cy="1685925"/>
                          </a:xfrm>
                          <a:prstGeom prst="rect">
                            <a:avLst/>
                          </a:prstGeom>
                          <a:noFill/>
                          <a:ln>
                            <a:noFill/>
                          </a:ln>
                        </pic:spPr>
                      </pic:pic>
                    </a:graphicData>
                  </a:graphic>
                </wp:anchor>
              </w:drawing>
            </w:r>
            <w:r>
              <w:drawing>
                <wp:anchor distT="0" distB="0" distL="0" distR="0" simplePos="0" relativeHeight="251663360" behindDoc="0" locked="0" layoutInCell="1" allowOverlap="1">
                  <wp:simplePos x="0" y="0"/>
                  <wp:positionH relativeFrom="column">
                    <wp:posOffset>3860800</wp:posOffset>
                  </wp:positionH>
                  <wp:positionV relativeFrom="paragraph">
                    <wp:posOffset>104775</wp:posOffset>
                  </wp:positionV>
                  <wp:extent cx="2315210" cy="1732915"/>
                  <wp:effectExtent l="0" t="0" r="8890" b="6985"/>
                  <wp:wrapNone/>
                  <wp:docPr id="38" name="图片 38" descr="C:\Users\ADMINI~1\AppData\Local\Temp\WeChat Files\697ad41ada4a5721f0f0cd49c7fa6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C:\Users\ADMINI~1\AppData\Local\Temp\WeChat Files\697ad41ada4a5721f0f0cd49c7fa66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15210" cy="1732915"/>
                          </a:xfrm>
                          <a:prstGeom prst="rect">
                            <a:avLst/>
                          </a:prstGeom>
                          <a:noFill/>
                          <a:ln>
                            <a:noFill/>
                          </a:ln>
                        </pic:spPr>
                      </pic:pic>
                    </a:graphicData>
                  </a:graphic>
                </wp:anchor>
              </w:drawing>
            </w:r>
          </w:p>
          <w:p>
            <w:pPr>
              <w:pStyle w:val="5"/>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5"/>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r>
              <w:drawing>
                <wp:anchor distT="0" distB="0" distL="0" distR="0" simplePos="0" relativeHeight="251664384" behindDoc="0" locked="0" layoutInCell="1" allowOverlap="1">
                  <wp:simplePos x="0" y="0"/>
                  <wp:positionH relativeFrom="column">
                    <wp:posOffset>1295400</wp:posOffset>
                  </wp:positionH>
                  <wp:positionV relativeFrom="paragraph">
                    <wp:posOffset>71755</wp:posOffset>
                  </wp:positionV>
                  <wp:extent cx="3552825" cy="2501265"/>
                  <wp:effectExtent l="0" t="0" r="3175" b="635"/>
                  <wp:wrapNone/>
                  <wp:docPr id="12" name="图片 12" descr="C:\Users\ADMINI~1\AppData\Local\Temp\WeChat Files\fa89f33656b8642c3ffb26e92576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WeChat Files\fa89f33656b8642c3ffb26e92576324.jpg"/>
                          <pic:cNvPicPr>
                            <a:picLocks noChangeAspect="1" noChangeArrowheads="1"/>
                          </pic:cNvPicPr>
                        </pic:nvPicPr>
                        <pic:blipFill>
                          <a:blip r:embed="rId8" cstate="print">
                            <a:extLst>
                              <a:ext uri="{28A0092B-C50C-407E-A947-70E740481C1C}">
                                <a14:useLocalDpi xmlns:a14="http://schemas.microsoft.com/office/drawing/2010/main" val="0"/>
                              </a:ext>
                            </a:extLst>
                          </a:blip>
                          <a:srcRect b="5958"/>
                          <a:stretch>
                            <a:fillRect/>
                          </a:stretch>
                        </pic:blipFill>
                        <pic:spPr>
                          <a:xfrm>
                            <a:off x="0" y="0"/>
                            <a:ext cx="3552825" cy="2501265"/>
                          </a:xfrm>
                          <a:prstGeom prst="rect">
                            <a:avLst/>
                          </a:prstGeom>
                          <a:noFill/>
                          <a:ln>
                            <a:noFill/>
                          </a:ln>
                        </pic:spPr>
                      </pic:pic>
                    </a:graphicData>
                  </a:graphic>
                </wp:anchor>
              </w:drawing>
            </w: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技术人员进入变电站后对设备进行接地线，并进行安全检查；检查无误后按照队长的指示，连接绝缘室与回收净化系统，开机运行对绝缘室内的六氟化硫气体进行回收。</w:t>
            </w: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r>
              <w:drawing>
                <wp:anchor distT="0" distB="0" distL="0" distR="0" simplePos="0" relativeHeight="251666432" behindDoc="0" locked="0" layoutInCell="1" allowOverlap="1">
                  <wp:simplePos x="0" y="0"/>
                  <wp:positionH relativeFrom="column">
                    <wp:posOffset>3384550</wp:posOffset>
                  </wp:positionH>
                  <wp:positionV relativeFrom="paragraph">
                    <wp:posOffset>198755</wp:posOffset>
                  </wp:positionV>
                  <wp:extent cx="3196590" cy="2399030"/>
                  <wp:effectExtent l="0" t="0" r="3810" b="1270"/>
                  <wp:wrapNone/>
                  <wp:docPr id="8" name="图片 8" descr="C:\Users\ADMINI~1\AppData\Local\Temp\WeChat Files\1bd65282733bbdef70dde264f4d8a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AppData\Local\Temp\WeChat Files\1bd65282733bbdef70dde264f4d8a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96590" cy="2399030"/>
                          </a:xfrm>
                          <a:prstGeom prst="rect">
                            <a:avLst/>
                          </a:prstGeom>
                          <a:noFill/>
                          <a:ln>
                            <a:noFill/>
                          </a:ln>
                        </pic:spPr>
                      </pic:pic>
                    </a:graphicData>
                  </a:graphic>
                </wp:anchor>
              </w:drawing>
            </w:r>
            <w:r>
              <w:drawing>
                <wp:anchor distT="0" distB="0" distL="0" distR="0" simplePos="0" relativeHeight="251665408" behindDoc="0" locked="0" layoutInCell="1" allowOverlap="1">
                  <wp:simplePos x="0" y="0"/>
                  <wp:positionH relativeFrom="column">
                    <wp:posOffset>82550</wp:posOffset>
                  </wp:positionH>
                  <wp:positionV relativeFrom="paragraph">
                    <wp:posOffset>194945</wp:posOffset>
                  </wp:positionV>
                  <wp:extent cx="3195955" cy="2398395"/>
                  <wp:effectExtent l="0" t="0" r="4445" b="1905"/>
                  <wp:wrapNone/>
                  <wp:docPr id="6" name="图片 6" descr="C:\Users\ADMINI~1\AppData\Local\Temp\WeChat Files\62c3b790776f0666668efffc5f0ba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62c3b790776f0666668efffc5f0bad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195955" cy="2398395"/>
                          </a:xfrm>
                          <a:prstGeom prst="rect">
                            <a:avLst/>
                          </a:prstGeom>
                          <a:noFill/>
                          <a:ln>
                            <a:noFill/>
                          </a:ln>
                        </pic:spPr>
                      </pic:pic>
                    </a:graphicData>
                  </a:graphic>
                </wp:anchor>
              </w:drawing>
            </w: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3"/>
              <w:rPr>
                <w:rFonts w:hint="eastAsia" w:asciiTheme="minorEastAsia" w:hAnsiTheme="minorEastAsia" w:eastAsiaTheme="minorEastAsia" w:cstheme="minorEastAsia"/>
                <w:b w:val="0"/>
                <w:bCs w:val="0"/>
                <w:color w:val="auto"/>
                <w:sz w:val="21"/>
                <w:szCs w:val="21"/>
                <w:lang w:val="en-US" w:eastAsia="zh-CN"/>
              </w:rPr>
            </w:pPr>
          </w:p>
          <w:p>
            <w:pPr>
              <w:pStyle w:val="5"/>
              <w:rPr>
                <w:rFonts w:hint="eastAsia" w:asciiTheme="minorEastAsia" w:hAnsiTheme="minorEastAsia" w:eastAsiaTheme="minorEastAsia" w:cstheme="minorEastAsia"/>
                <w:b w:val="0"/>
                <w:bCs w:val="0"/>
                <w:color w:val="auto"/>
                <w:sz w:val="21"/>
                <w:szCs w:val="21"/>
                <w:lang w:val="en-US" w:eastAsia="zh-CN"/>
              </w:rPr>
            </w:pPr>
          </w:p>
          <w:p>
            <w:pPr>
              <w:rPr>
                <w:rFonts w:hint="eastAsia" w:asciiTheme="minorEastAsia" w:hAnsiTheme="minorEastAsia" w:eastAsiaTheme="minorEastAsia" w:cstheme="minorEastAsia"/>
                <w:b w:val="0"/>
                <w:bCs w:val="0"/>
                <w:color w:val="auto"/>
                <w:sz w:val="21"/>
                <w:szCs w:val="21"/>
                <w:lang w:val="en-US" w:eastAsia="zh-CN"/>
              </w:rPr>
            </w:pPr>
          </w:p>
          <w:p>
            <w:pPr>
              <w:pStyle w:val="2"/>
              <w:rPr>
                <w:rFonts w:hint="eastAsia" w:asciiTheme="minorEastAsia" w:hAnsiTheme="minorEastAsia" w:eastAsiaTheme="minorEastAsia" w:cstheme="minorEastAsia"/>
                <w:b w:val="0"/>
                <w:bCs w:val="0"/>
                <w:color w:val="auto"/>
                <w:sz w:val="21"/>
                <w:szCs w:val="21"/>
                <w:lang w:val="en-US" w:eastAsia="zh-CN"/>
              </w:rPr>
            </w:pPr>
          </w:p>
          <w:p>
            <w:pPr>
              <w:pStyle w:val="3"/>
              <w:rPr>
                <w:rFonts w:hint="eastAsia" w:asciiTheme="minorEastAsia" w:hAnsiTheme="minorEastAsia" w:eastAsiaTheme="minorEastAsia" w:cstheme="minorEastAsia"/>
                <w:b w:val="0"/>
                <w:bCs w:val="0"/>
                <w:color w:val="auto"/>
                <w:sz w:val="21"/>
                <w:szCs w:val="21"/>
                <w:lang w:val="en-US" w:eastAsia="zh-CN"/>
              </w:rPr>
            </w:pPr>
          </w:p>
          <w:p>
            <w:pPr>
              <w:pStyle w:val="5"/>
              <w:rPr>
                <w:rFonts w:hint="eastAsia"/>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六氟化硫在回收的过程中，同时在系统内进行提纯净化：</w:t>
            </w:r>
          </w:p>
          <w:p>
            <w:pPr>
              <w:pStyle w:val="3"/>
              <w:rPr>
                <w:rFonts w:hint="eastAsia" w:asciiTheme="minorEastAsia" w:hAnsiTheme="minorEastAsia" w:eastAsiaTheme="minorEastAsia" w:cstheme="minorEastAsia"/>
                <w:b w:val="0"/>
                <w:bCs w:val="0"/>
                <w:color w:val="auto"/>
                <w:sz w:val="21"/>
                <w:szCs w:val="21"/>
                <w:lang w:val="en-US" w:eastAsia="zh-CN"/>
              </w:rPr>
            </w:pPr>
            <w:r>
              <w:drawing>
                <wp:anchor distT="0" distB="0" distL="0" distR="0" simplePos="0" relativeHeight="251669504" behindDoc="0" locked="0" layoutInCell="1" allowOverlap="1">
                  <wp:simplePos x="0" y="0"/>
                  <wp:positionH relativeFrom="column">
                    <wp:posOffset>330200</wp:posOffset>
                  </wp:positionH>
                  <wp:positionV relativeFrom="paragraph">
                    <wp:posOffset>71120</wp:posOffset>
                  </wp:positionV>
                  <wp:extent cx="2651125" cy="1989455"/>
                  <wp:effectExtent l="0" t="0" r="3175" b="4445"/>
                  <wp:wrapNone/>
                  <wp:docPr id="10" name="图片 10" descr="C:\Users\ADMINI~1\AppData\Local\Temp\WeChat Files\97d04265f91ab457ed109850e990f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WeChat Files\97d04265f91ab457ed109850e990ff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51125" cy="1989455"/>
                          </a:xfrm>
                          <a:prstGeom prst="rect">
                            <a:avLst/>
                          </a:prstGeom>
                          <a:noFill/>
                          <a:ln>
                            <a:noFill/>
                          </a:ln>
                        </pic:spPr>
                      </pic:pic>
                    </a:graphicData>
                  </a:graphic>
                </wp:anchor>
              </w:drawing>
            </w:r>
            <w:r>
              <w:drawing>
                <wp:anchor distT="0" distB="0" distL="0" distR="0" simplePos="0" relativeHeight="251668480" behindDoc="0" locked="0" layoutInCell="1" allowOverlap="1">
                  <wp:simplePos x="0" y="0"/>
                  <wp:positionH relativeFrom="column">
                    <wp:posOffset>3441700</wp:posOffset>
                  </wp:positionH>
                  <wp:positionV relativeFrom="paragraph">
                    <wp:posOffset>58420</wp:posOffset>
                  </wp:positionV>
                  <wp:extent cx="2650490" cy="1989455"/>
                  <wp:effectExtent l="0" t="0" r="3810" b="4445"/>
                  <wp:wrapNone/>
                  <wp:docPr id="5" name="图片 5" descr="C:\Users\ADMINI~1\AppData\Local\Temp\WeChat Files\7b10c937070163e96f9d7571a4a2f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7b10c937070163e96f9d7571a4a2f6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650490" cy="1989455"/>
                          </a:xfrm>
                          <a:prstGeom prst="rect">
                            <a:avLst/>
                          </a:prstGeom>
                          <a:noFill/>
                          <a:ln>
                            <a:noFill/>
                          </a:ln>
                        </pic:spPr>
                      </pic:pic>
                    </a:graphicData>
                  </a:graphic>
                </wp:anchor>
              </w:drawing>
            </w:r>
          </w:p>
          <w:p>
            <w:pPr>
              <w:pStyle w:val="5"/>
              <w:rPr>
                <w:rFonts w:hint="eastAsia" w:asciiTheme="minorEastAsia" w:hAnsiTheme="minorEastAsia" w:eastAsiaTheme="minorEastAsia" w:cstheme="minorEastAsia"/>
                <w:b w:val="0"/>
                <w:bCs w:val="0"/>
                <w:color w:val="auto"/>
                <w:sz w:val="21"/>
                <w:szCs w:val="21"/>
                <w:lang w:val="en-US" w:eastAsia="zh-CN"/>
              </w:rPr>
            </w:pPr>
          </w:p>
          <w:p>
            <w:pPr>
              <w:rPr>
                <w:rFonts w:hint="eastAsia" w:asciiTheme="minorEastAsia" w:hAnsiTheme="minorEastAsia" w:eastAsiaTheme="minorEastAsia" w:cstheme="minorEastAsia"/>
                <w:b w:val="0"/>
                <w:bCs w:val="0"/>
                <w:color w:val="auto"/>
                <w:sz w:val="21"/>
                <w:szCs w:val="21"/>
                <w:lang w:val="en-US" w:eastAsia="zh-CN"/>
              </w:rPr>
            </w:pPr>
          </w:p>
          <w:p>
            <w:pPr>
              <w:pStyle w:val="2"/>
              <w:rPr>
                <w:rFonts w:hint="eastAsia" w:asciiTheme="minorEastAsia" w:hAnsiTheme="minorEastAsia" w:eastAsiaTheme="minorEastAsia" w:cstheme="minorEastAsia"/>
                <w:b w:val="0"/>
                <w:bCs w:val="0"/>
                <w:color w:val="auto"/>
                <w:sz w:val="21"/>
                <w:szCs w:val="21"/>
                <w:lang w:val="en-US" w:eastAsia="zh-CN"/>
              </w:rPr>
            </w:pPr>
          </w:p>
          <w:p>
            <w:pPr>
              <w:pStyle w:val="3"/>
              <w:rPr>
                <w:rFonts w:hint="eastAsia" w:asciiTheme="minorEastAsia" w:hAnsiTheme="minorEastAsia" w:eastAsiaTheme="minorEastAsia" w:cstheme="minorEastAsia"/>
                <w:b w:val="0"/>
                <w:bCs w:val="0"/>
                <w:color w:val="auto"/>
                <w:sz w:val="21"/>
                <w:szCs w:val="21"/>
                <w:lang w:val="en-US" w:eastAsia="zh-CN"/>
              </w:rPr>
            </w:pPr>
          </w:p>
          <w:p>
            <w:pPr>
              <w:pStyle w:val="5"/>
              <w:rPr>
                <w:rFonts w:hint="eastAsia" w:asciiTheme="minorEastAsia" w:hAnsiTheme="minorEastAsia" w:eastAsiaTheme="minorEastAsia" w:cstheme="minorEastAsia"/>
                <w:b w:val="0"/>
                <w:bCs w:val="0"/>
                <w:color w:val="auto"/>
                <w:sz w:val="21"/>
                <w:szCs w:val="21"/>
                <w:lang w:val="en-US" w:eastAsia="zh-CN"/>
              </w:rPr>
            </w:pPr>
          </w:p>
          <w:p>
            <w:pPr>
              <w:rPr>
                <w:rFonts w:hint="eastAsia" w:asciiTheme="minorEastAsia" w:hAnsiTheme="minorEastAsia" w:eastAsiaTheme="minorEastAsia" w:cstheme="minorEastAsia"/>
                <w:b w:val="0"/>
                <w:bCs w:val="0"/>
                <w:color w:val="auto"/>
                <w:sz w:val="21"/>
                <w:szCs w:val="21"/>
                <w:lang w:val="en-US" w:eastAsia="zh-CN"/>
              </w:rPr>
            </w:pPr>
          </w:p>
          <w:p>
            <w:pPr>
              <w:pStyle w:val="2"/>
              <w:rPr>
                <w:rFonts w:hint="eastAsia" w:asciiTheme="minorEastAsia" w:hAnsiTheme="minorEastAsia" w:eastAsiaTheme="minorEastAsia" w:cstheme="minorEastAsia"/>
                <w:b w:val="0"/>
                <w:bCs w:val="0"/>
                <w:color w:val="auto"/>
                <w:sz w:val="21"/>
                <w:szCs w:val="21"/>
                <w:lang w:val="en-US" w:eastAsia="zh-CN"/>
              </w:rPr>
            </w:pPr>
          </w:p>
          <w:p>
            <w:pPr>
              <w:pStyle w:val="3"/>
              <w:rPr>
                <w:rFonts w:hint="default"/>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六氟化硫气体净化完成后，暂存在业务提供的气瓶内，等待绝缘室由其他维修队检修完成后，听从队长的指令，把净化后的其他打入绝缘室，并监测各项数据：</w:t>
            </w:r>
          </w:p>
          <w:p>
            <w:pPr>
              <w:pStyle w:val="3"/>
              <w:rPr>
                <w:rFonts w:hint="eastAsia" w:asciiTheme="minorEastAsia" w:hAnsiTheme="minorEastAsia" w:eastAsiaTheme="minorEastAsia" w:cstheme="minorEastAsia"/>
                <w:b w:val="0"/>
                <w:bCs w:val="0"/>
                <w:color w:val="auto"/>
                <w:sz w:val="21"/>
                <w:szCs w:val="21"/>
                <w:lang w:val="en-US" w:eastAsia="zh-CN"/>
              </w:rPr>
            </w:pPr>
            <w:r>
              <w:drawing>
                <wp:anchor distT="0" distB="0" distL="0" distR="0" simplePos="0" relativeHeight="251670528" behindDoc="0" locked="0" layoutInCell="1" allowOverlap="1">
                  <wp:simplePos x="0" y="0"/>
                  <wp:positionH relativeFrom="column">
                    <wp:posOffset>3149600</wp:posOffset>
                  </wp:positionH>
                  <wp:positionV relativeFrom="paragraph">
                    <wp:posOffset>144780</wp:posOffset>
                  </wp:positionV>
                  <wp:extent cx="2682875" cy="2012950"/>
                  <wp:effectExtent l="0" t="0" r="9525" b="6350"/>
                  <wp:wrapNone/>
                  <wp:docPr id="9" name="图片 9" descr="C:\Users\ADMINI~1\AppData\Local\Temp\WeChat Files\e90d91609d308adbee1f377aad61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WeChat Files\e90d91609d308adbee1f377aad6149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682875" cy="2012950"/>
                          </a:xfrm>
                          <a:prstGeom prst="rect">
                            <a:avLst/>
                          </a:prstGeom>
                          <a:noFill/>
                          <a:ln>
                            <a:noFill/>
                          </a:ln>
                        </pic:spPr>
                      </pic:pic>
                    </a:graphicData>
                  </a:graphic>
                </wp:anchor>
              </w:drawing>
            </w:r>
            <w:r>
              <w:drawing>
                <wp:anchor distT="0" distB="0" distL="0" distR="0" simplePos="0" relativeHeight="251667456" behindDoc="0" locked="0" layoutInCell="1" allowOverlap="1">
                  <wp:simplePos x="0" y="0"/>
                  <wp:positionH relativeFrom="column">
                    <wp:posOffset>50800</wp:posOffset>
                  </wp:positionH>
                  <wp:positionV relativeFrom="paragraph">
                    <wp:posOffset>145415</wp:posOffset>
                  </wp:positionV>
                  <wp:extent cx="2708910" cy="2028190"/>
                  <wp:effectExtent l="0" t="0" r="8890" b="3810"/>
                  <wp:wrapNone/>
                  <wp:docPr id="39" name="图片 39" descr="C:\Users\ADMINI~1\AppData\Local\Temp\WeChat Files\a436d8d043f07870002ecfe43238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ADMINI~1\AppData\Local\Temp\WeChat Files\a436d8d043f07870002ecfe4323826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08910" cy="2028190"/>
                          </a:xfrm>
                          <a:prstGeom prst="rect">
                            <a:avLst/>
                          </a:prstGeom>
                          <a:noFill/>
                          <a:ln>
                            <a:noFill/>
                          </a:ln>
                        </pic:spPr>
                      </pic:pic>
                    </a:graphicData>
                  </a:graphic>
                </wp:anchor>
              </w:drawing>
            </w:r>
          </w:p>
          <w:p>
            <w:pPr>
              <w:pStyle w:val="5"/>
              <w:rPr>
                <w:rFonts w:hint="eastAsia" w:asciiTheme="minorEastAsia" w:hAnsiTheme="minorEastAsia" w:eastAsiaTheme="minorEastAsia" w:cstheme="minorEastAsia"/>
                <w:b w:val="0"/>
                <w:bCs w:val="0"/>
                <w:color w:val="auto"/>
                <w:sz w:val="21"/>
                <w:szCs w:val="21"/>
                <w:lang w:val="en-US" w:eastAsia="zh-CN"/>
              </w:rPr>
            </w:pPr>
          </w:p>
          <w:p>
            <w:pPr>
              <w:rPr>
                <w:rFonts w:hint="eastAsia" w:asciiTheme="minorEastAsia" w:hAnsiTheme="minorEastAsia" w:eastAsiaTheme="minorEastAsia" w:cstheme="minorEastAsia"/>
                <w:b w:val="0"/>
                <w:bCs w:val="0"/>
                <w:color w:val="auto"/>
                <w:sz w:val="21"/>
                <w:szCs w:val="21"/>
                <w:lang w:val="en-US" w:eastAsia="zh-CN"/>
              </w:rPr>
            </w:pPr>
          </w:p>
          <w:p>
            <w:pPr>
              <w:pStyle w:val="2"/>
              <w:rPr>
                <w:rFonts w:hint="eastAsia" w:asciiTheme="minorEastAsia" w:hAnsiTheme="minorEastAsia" w:eastAsiaTheme="minorEastAsia" w:cstheme="minorEastAsia"/>
                <w:b w:val="0"/>
                <w:bCs w:val="0"/>
                <w:color w:val="auto"/>
                <w:sz w:val="21"/>
                <w:szCs w:val="21"/>
                <w:lang w:val="en-US" w:eastAsia="zh-CN"/>
              </w:rPr>
            </w:pPr>
          </w:p>
          <w:p>
            <w:pPr>
              <w:pStyle w:val="3"/>
              <w:rPr>
                <w:rFonts w:hint="eastAsia" w:asciiTheme="minorEastAsia" w:hAnsiTheme="minorEastAsia" w:eastAsiaTheme="minorEastAsia" w:cstheme="minorEastAsia"/>
                <w:b w:val="0"/>
                <w:bCs w:val="0"/>
                <w:color w:val="auto"/>
                <w:sz w:val="21"/>
                <w:szCs w:val="21"/>
                <w:lang w:val="en-US" w:eastAsia="zh-CN"/>
              </w:rPr>
            </w:pPr>
          </w:p>
          <w:p>
            <w:pPr>
              <w:pStyle w:val="5"/>
              <w:rPr>
                <w:rFonts w:hint="eastAsia" w:asciiTheme="minorEastAsia" w:hAnsiTheme="minorEastAsia" w:eastAsiaTheme="minorEastAsia" w:cstheme="minorEastAsia"/>
                <w:b w:val="0"/>
                <w:bCs w:val="0"/>
                <w:color w:val="auto"/>
                <w:sz w:val="21"/>
                <w:szCs w:val="21"/>
                <w:lang w:val="en-US" w:eastAsia="zh-CN"/>
              </w:rPr>
            </w:pPr>
          </w:p>
          <w:p>
            <w:pPr>
              <w:rPr>
                <w:rFonts w:hint="eastAsia" w:asciiTheme="minorEastAsia" w:hAnsiTheme="minorEastAsia" w:eastAsiaTheme="minorEastAsia" w:cstheme="minorEastAsia"/>
                <w:b w:val="0"/>
                <w:bCs w:val="0"/>
                <w:color w:val="auto"/>
                <w:sz w:val="21"/>
                <w:szCs w:val="21"/>
                <w:lang w:val="en-US" w:eastAsia="zh-CN"/>
              </w:rPr>
            </w:pPr>
          </w:p>
          <w:p>
            <w:pPr>
              <w:pStyle w:val="2"/>
              <w:rPr>
                <w:rFonts w:hint="eastAsia" w:asciiTheme="minorEastAsia" w:hAnsiTheme="minorEastAsia" w:eastAsiaTheme="minorEastAsia" w:cstheme="minorEastAsia"/>
                <w:b w:val="0"/>
                <w:bCs w:val="0"/>
                <w:color w:val="auto"/>
                <w:sz w:val="21"/>
                <w:szCs w:val="21"/>
                <w:lang w:val="en-US" w:eastAsia="zh-CN"/>
              </w:rPr>
            </w:pPr>
          </w:p>
          <w:p>
            <w:pPr>
              <w:pStyle w:val="3"/>
              <w:rPr>
                <w:rFonts w:hint="eastAsia" w:asciiTheme="minorEastAsia" w:hAnsiTheme="minorEastAsia" w:eastAsiaTheme="minorEastAsia" w:cstheme="minorEastAsia"/>
                <w:b w:val="0"/>
                <w:bCs w:val="0"/>
                <w:color w:val="auto"/>
                <w:sz w:val="21"/>
                <w:szCs w:val="21"/>
                <w:lang w:val="en-US" w:eastAsia="zh-CN"/>
              </w:rPr>
            </w:pPr>
          </w:p>
          <w:p>
            <w:pPr>
              <w:pStyle w:val="5"/>
              <w:rPr>
                <w:rFonts w:hint="default"/>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3"/>
              <w:ind w:left="0" w:leftChars="0" w:firstLine="420" w:firstLineChars="200"/>
              <w:jc w:val="left"/>
              <w:rPr>
                <w:rFonts w:hint="eastAsia" w:asciiTheme="minorEastAsia" w:hAnsiTheme="minorEastAsia" w:eastAsiaTheme="minorEastAsia" w:cstheme="minorEastAsia"/>
                <w:b w:val="0"/>
                <w:bCs w:val="0"/>
                <w:color w:val="auto"/>
                <w:sz w:val="21"/>
                <w:szCs w:val="21"/>
                <w:lang w:val="en-US" w:eastAsia="zh-CN"/>
              </w:rPr>
            </w:pPr>
            <w:r>
              <w:drawing>
                <wp:anchor distT="0" distB="0" distL="0" distR="0" simplePos="0" relativeHeight="251671552" behindDoc="0" locked="0" layoutInCell="1" allowOverlap="1">
                  <wp:simplePos x="0" y="0"/>
                  <wp:positionH relativeFrom="column">
                    <wp:posOffset>1517650</wp:posOffset>
                  </wp:positionH>
                  <wp:positionV relativeFrom="paragraph">
                    <wp:posOffset>643890</wp:posOffset>
                  </wp:positionV>
                  <wp:extent cx="2378710" cy="1780540"/>
                  <wp:effectExtent l="0" t="0" r="8890" b="10160"/>
                  <wp:wrapNone/>
                  <wp:docPr id="14" name="图片 14" descr="C:\Users\ADMINI~1\AppData\Local\Temp\WeChat Files\87f3079f3cc86c8e5ccb1f6543525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1\AppData\Local\Temp\WeChat Files\87f3079f3cc86c8e5ccb1f65435258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78710" cy="1780540"/>
                          </a:xfrm>
                          <a:prstGeom prst="rect">
                            <a:avLst/>
                          </a:prstGeom>
                          <a:noFill/>
                          <a:ln>
                            <a:noFill/>
                          </a:ln>
                        </pic:spPr>
                      </pic:pic>
                    </a:graphicData>
                  </a:graphic>
                </wp:anchor>
              </w:drawing>
            </w:r>
            <w:r>
              <w:rPr>
                <w:rFonts w:hint="eastAsia" w:asciiTheme="minorEastAsia" w:hAnsiTheme="minorEastAsia" w:eastAsiaTheme="minorEastAsia" w:cstheme="minorEastAsia"/>
                <w:b w:val="0"/>
                <w:bCs w:val="0"/>
                <w:color w:val="auto"/>
                <w:sz w:val="21"/>
                <w:szCs w:val="21"/>
                <w:lang w:val="en-US" w:eastAsia="zh-CN"/>
              </w:rPr>
              <w:t>在完成整体六氟化硫净化工作后，由业务聘请第三方检测公司对净化后的各项要求进行检测，包括：1、充装结束24小时后，对设备密封处、焊接以及管路接头进行全面检漏，确认无泄漏；2、充装结束24小时后，对设备中SF6气体进行湿度、空气、CF4等项目进行检测，应符合要求。检测结果合格后，由甲方西开公司领队队长在确认单上签字确认。</w:t>
            </w:r>
          </w:p>
          <w:p>
            <w:pPr>
              <w:pStyle w:val="5"/>
              <w:rPr>
                <w:rFonts w:hint="eastAsia" w:asciiTheme="minorEastAsia" w:hAnsiTheme="minorEastAsia" w:eastAsiaTheme="minorEastAsia" w:cstheme="minorEastAsia"/>
                <w:b w:val="0"/>
                <w:bCs w:val="0"/>
                <w:color w:val="auto"/>
                <w:sz w:val="21"/>
                <w:szCs w:val="21"/>
                <w:lang w:val="en-US" w:eastAsia="zh-CN"/>
              </w:rPr>
            </w:pPr>
          </w:p>
          <w:p>
            <w:pPr>
              <w:rPr>
                <w:rFonts w:hint="eastAsia" w:asciiTheme="minorEastAsia" w:hAnsiTheme="minorEastAsia" w:eastAsiaTheme="minorEastAsia" w:cstheme="minorEastAsia"/>
                <w:b w:val="0"/>
                <w:bCs w:val="0"/>
                <w:color w:val="auto"/>
                <w:sz w:val="21"/>
                <w:szCs w:val="21"/>
                <w:lang w:val="en-US" w:eastAsia="zh-CN"/>
              </w:rPr>
            </w:pPr>
          </w:p>
          <w:p>
            <w:pPr>
              <w:pStyle w:val="2"/>
              <w:rPr>
                <w:rFonts w:hint="eastAsia" w:asciiTheme="minorEastAsia" w:hAnsiTheme="minorEastAsia" w:eastAsiaTheme="minorEastAsia" w:cstheme="minorEastAsia"/>
                <w:b w:val="0"/>
                <w:bCs w:val="0"/>
                <w:color w:val="auto"/>
                <w:sz w:val="21"/>
                <w:szCs w:val="21"/>
                <w:lang w:val="en-US" w:eastAsia="zh-CN"/>
              </w:rPr>
            </w:pPr>
          </w:p>
          <w:p>
            <w:pPr>
              <w:pStyle w:val="3"/>
              <w:rPr>
                <w:rFonts w:hint="eastAsia" w:asciiTheme="minorEastAsia" w:hAnsiTheme="minorEastAsia" w:eastAsiaTheme="minorEastAsia" w:cstheme="minorEastAsia"/>
                <w:b w:val="0"/>
                <w:bCs w:val="0"/>
                <w:color w:val="auto"/>
                <w:sz w:val="21"/>
                <w:szCs w:val="21"/>
                <w:lang w:val="en-US" w:eastAsia="zh-CN"/>
              </w:rPr>
            </w:pPr>
          </w:p>
          <w:p>
            <w:pPr>
              <w:pStyle w:val="5"/>
              <w:rPr>
                <w:rFonts w:hint="eastAsia" w:asciiTheme="minorEastAsia" w:hAnsiTheme="minorEastAsia" w:eastAsiaTheme="minorEastAsia" w:cstheme="minorEastAsia"/>
                <w:b w:val="0"/>
                <w:bCs w:val="0"/>
                <w:color w:val="auto"/>
                <w:sz w:val="21"/>
                <w:szCs w:val="21"/>
                <w:lang w:val="en-US" w:eastAsia="zh-CN"/>
              </w:rPr>
            </w:pPr>
          </w:p>
          <w:p>
            <w:pPr>
              <w:rPr>
                <w:rFonts w:hint="eastAsia" w:asciiTheme="minorEastAsia" w:hAnsiTheme="minorEastAsia" w:eastAsiaTheme="minorEastAsia" w:cstheme="minorEastAsia"/>
                <w:b w:val="0"/>
                <w:bCs w:val="0"/>
                <w:color w:val="auto"/>
                <w:sz w:val="21"/>
                <w:szCs w:val="21"/>
                <w:lang w:val="en-US" w:eastAsia="zh-CN"/>
              </w:rPr>
            </w:pPr>
          </w:p>
          <w:p>
            <w:pPr>
              <w:pStyle w:val="2"/>
              <w:rPr>
                <w:rFonts w:hint="eastAsia"/>
                <w:lang w:val="en-US" w:eastAsia="zh-CN"/>
              </w:rPr>
            </w:pPr>
          </w:p>
          <w:p>
            <w:pPr>
              <w:pStyle w:val="2"/>
              <w:rPr>
                <w:rFonts w:hint="eastAsia" w:asciiTheme="minorEastAsia" w:hAnsiTheme="minorEastAsia" w:eastAsiaTheme="minorEastAsia" w:cstheme="minorEastAsia"/>
                <w:b w:val="0"/>
                <w:bCs w:val="0"/>
                <w:color w:val="auto"/>
                <w:sz w:val="21"/>
                <w:szCs w:val="21"/>
                <w:lang w:val="en-US" w:eastAsia="zh-CN"/>
              </w:rPr>
            </w:pPr>
          </w:p>
          <w:p>
            <w:pPr>
              <w:pStyle w:val="3"/>
              <w:rPr>
                <w:rFonts w:hint="default"/>
                <w:lang w:val="en-US" w:eastAsia="zh-CN"/>
              </w:rPr>
            </w:pPr>
            <w:r>
              <w:rPr>
                <w:rFonts w:hint="eastAsia" w:asciiTheme="minorEastAsia" w:hAnsiTheme="minorEastAsia" w:eastAsiaTheme="minorEastAsia" w:cstheme="minorEastAsia"/>
                <w:b w:val="0"/>
                <w:bCs w:val="0"/>
                <w:color w:val="auto"/>
                <w:sz w:val="21"/>
                <w:szCs w:val="21"/>
                <w:lang w:val="en-US" w:eastAsia="zh-CN"/>
              </w:rPr>
              <w:drawing>
                <wp:anchor distT="0" distB="0" distL="114300" distR="114300" simplePos="0" relativeHeight="251672576" behindDoc="0" locked="0" layoutInCell="1" allowOverlap="1">
                  <wp:simplePos x="0" y="0"/>
                  <wp:positionH relativeFrom="column">
                    <wp:posOffset>1936750</wp:posOffset>
                  </wp:positionH>
                  <wp:positionV relativeFrom="paragraph">
                    <wp:posOffset>62230</wp:posOffset>
                  </wp:positionV>
                  <wp:extent cx="2104390" cy="2969895"/>
                  <wp:effectExtent l="0" t="0" r="3810" b="1905"/>
                  <wp:wrapNone/>
                  <wp:docPr id="40" name="图片 40" descr="d4c2a1290a0edbe7356d7f10c6b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d4c2a1290a0edbe7356d7f10c6b2263"/>
                          <pic:cNvPicPr>
                            <a:picLocks noChangeAspect="1"/>
                          </pic:cNvPicPr>
                        </pic:nvPicPr>
                        <pic:blipFill>
                          <a:blip r:embed="rId16"/>
                          <a:stretch>
                            <a:fillRect/>
                          </a:stretch>
                        </pic:blipFill>
                        <pic:spPr>
                          <a:xfrm>
                            <a:off x="0" y="0"/>
                            <a:ext cx="2104390" cy="2969895"/>
                          </a:xfrm>
                          <a:prstGeom prst="rect">
                            <a:avLst/>
                          </a:prstGeom>
                        </pic:spPr>
                      </pic:pic>
                    </a:graphicData>
                  </a:graphic>
                </wp:anchor>
              </w:drawing>
            </w: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w:t>
            </w: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auto"/>
                <w:sz w:val="21"/>
                <w:szCs w:val="21"/>
                <w:lang w:val="en-US" w:eastAsia="zh-CN"/>
              </w:rPr>
            </w:pPr>
          </w:p>
          <w:p>
            <w:pPr>
              <w:pStyle w:val="2"/>
              <w:keepNext w:val="0"/>
              <w:keepLines w:val="0"/>
              <w:suppressLineNumbers w:val="0"/>
              <w:spacing w:before="0" w:beforeAutospacing="0" w:after="0" w:afterAutospacing="0"/>
              <w:ind w:left="0" w:right="0"/>
              <w:rPr>
                <w:rFonts w:hint="default"/>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1、查湖南长沙国网湖南检修500KV鼎功变电站六氟化硫净化项目的《外部现场工作流程确认单》</w:t>
            </w:r>
            <w:r>
              <w:rPr>
                <w:rFonts w:hint="eastAsia" w:ascii="宋体" w:hAnsi="宋体"/>
                <w:color w:val="auto"/>
                <w:sz w:val="21"/>
                <w:szCs w:val="21"/>
                <w:lang w:val="en-US" w:eastAsia="zh-CN"/>
              </w:rPr>
              <w:t>，内容包含了日期、电站名称、工作内容、西开现场负责人签字、供方施工人员签字。查1）2022.2.17日在</w:t>
            </w:r>
            <w:r>
              <w:rPr>
                <w:rFonts w:hint="eastAsia" w:asciiTheme="minorEastAsia" w:hAnsiTheme="minorEastAsia" w:eastAsiaTheme="minorEastAsia" w:cstheme="minorEastAsia"/>
                <w:b w:val="0"/>
                <w:bCs w:val="0"/>
                <w:color w:val="auto"/>
                <w:sz w:val="21"/>
                <w:szCs w:val="21"/>
                <w:lang w:val="en-US" w:eastAsia="zh-CN"/>
              </w:rPr>
              <w:t>湖南检修500KV鼎功变电站进行安全教育学习，由甲方人员申龙签字确认，企业技术人员周敬签字确认；2）2022.2.19在湖南检修500KV鼎功变电站进行六氟化硫气体回收，有各方签字确认。其他过程包含了：气体压入钢瓶、抽真空、回冲等过程。</w:t>
            </w:r>
          </w:p>
          <w:p>
            <w:pPr>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b w:val="0"/>
                <w:bCs w:val="0"/>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drawing>
                <wp:anchor distT="0" distB="0" distL="114300" distR="114300" simplePos="0" relativeHeight="251661312" behindDoc="0" locked="0" layoutInCell="1" allowOverlap="1">
                  <wp:simplePos x="0" y="0"/>
                  <wp:positionH relativeFrom="column">
                    <wp:posOffset>1659890</wp:posOffset>
                  </wp:positionH>
                  <wp:positionV relativeFrom="paragraph">
                    <wp:posOffset>34925</wp:posOffset>
                  </wp:positionV>
                  <wp:extent cx="2541905" cy="3643630"/>
                  <wp:effectExtent l="0" t="0" r="10795" b="1270"/>
                  <wp:wrapNone/>
                  <wp:docPr id="37" name="图片 37" descr="扫描全能王 2022-03-14 14.4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扫描全能王 2022-03-14 14.40_10"/>
                          <pic:cNvPicPr>
                            <a:picLocks noChangeAspect="1"/>
                          </pic:cNvPicPr>
                        </pic:nvPicPr>
                        <pic:blipFill>
                          <a:blip r:embed="rId17"/>
                          <a:stretch>
                            <a:fillRect/>
                          </a:stretch>
                        </pic:blipFill>
                        <pic:spPr>
                          <a:xfrm>
                            <a:off x="0" y="0"/>
                            <a:ext cx="2541905" cy="3643630"/>
                          </a:xfrm>
                          <a:prstGeom prst="rect">
                            <a:avLst/>
                          </a:prstGeom>
                        </pic:spPr>
                      </pic:pic>
                    </a:graphicData>
                  </a:graphic>
                </wp:anchor>
              </w:drawing>
            </w: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1"/>
                <w:szCs w:val="21"/>
                <w:lang w:val="en-US" w:eastAsia="zh-CN"/>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1"/>
                <w:szCs w:val="21"/>
                <w:lang w:val="en-US" w:eastAsia="zh-CN"/>
              </w:rPr>
            </w:pPr>
          </w:p>
          <w:p>
            <w:pPr>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b w:val="0"/>
                <w:bCs w:val="0"/>
                <w:sz w:val="21"/>
                <w:szCs w:val="21"/>
                <w:lang w:val="en-US" w:eastAsia="zh-CN"/>
              </w:rPr>
            </w:pPr>
          </w:p>
          <w:p>
            <w:pPr>
              <w:pStyle w:val="2"/>
              <w:keepNext w:val="0"/>
              <w:keepLines w:val="0"/>
              <w:suppressLineNumbers w:val="0"/>
              <w:spacing w:before="0" w:beforeAutospacing="0" w:after="0" w:afterAutospacing="0"/>
              <w:ind w:left="0" w:right="0" w:firstLine="420" w:firstLineChars="200"/>
              <w:rPr>
                <w:rFonts w:hint="eastAsia" w:asciiTheme="minorEastAsia" w:hAnsiTheme="minorEastAsia" w:eastAsiaTheme="minorEastAsia" w:cstheme="minorEastAsia"/>
                <w:b w:val="0"/>
                <w:bCs w:val="0"/>
                <w:sz w:val="21"/>
                <w:szCs w:val="21"/>
                <w:lang w:val="en-US" w:eastAsia="zh-CN"/>
              </w:rPr>
            </w:pPr>
          </w:p>
          <w:p>
            <w:pPr>
              <w:pStyle w:val="2"/>
              <w:keepNext w:val="0"/>
              <w:keepLines w:val="0"/>
              <w:suppressLineNumbers w:val="0"/>
              <w:spacing w:before="0" w:beforeAutospacing="0" w:after="0" w:afterAutospacing="0"/>
              <w:ind w:left="0" w:right="0" w:firstLine="420" w:firstLineChars="200"/>
              <w:rPr>
                <w:rFonts w:hint="eastAsia" w:asciiTheme="minorEastAsia" w:hAnsiTheme="minorEastAsia" w:eastAsiaTheme="minorEastAsia" w:cstheme="minorEastAsia"/>
                <w:b w:val="0"/>
                <w:bCs w:val="0"/>
                <w:sz w:val="21"/>
                <w:szCs w:val="21"/>
                <w:lang w:val="en-US" w:eastAsia="zh-CN"/>
              </w:rPr>
            </w:pPr>
          </w:p>
          <w:p>
            <w:pPr>
              <w:pStyle w:val="2"/>
              <w:keepNext w:val="0"/>
              <w:keepLines w:val="0"/>
              <w:suppressLineNumbers w:val="0"/>
              <w:spacing w:before="0" w:beforeAutospacing="0" w:after="0" w:afterAutospacing="0"/>
              <w:ind w:left="0" w:right="0" w:firstLine="420" w:firstLineChars="200"/>
              <w:rPr>
                <w:rFonts w:hint="eastAsia" w:asciiTheme="minorEastAsia" w:hAnsiTheme="minorEastAsia" w:eastAsiaTheme="minorEastAsia" w:cstheme="minorEastAsia"/>
                <w:b w:val="0"/>
                <w:bCs w:val="0"/>
                <w:sz w:val="21"/>
                <w:szCs w:val="21"/>
                <w:lang w:val="en-US" w:eastAsia="zh-CN"/>
              </w:rPr>
            </w:pPr>
          </w:p>
          <w:p>
            <w:pPr>
              <w:pStyle w:val="2"/>
              <w:keepNext w:val="0"/>
              <w:keepLines w:val="0"/>
              <w:suppressLineNumbers w:val="0"/>
              <w:spacing w:before="0" w:beforeAutospacing="0" w:after="0" w:afterAutospacing="0"/>
              <w:ind w:left="0" w:right="0" w:firstLine="420" w:firstLineChars="200"/>
              <w:rPr>
                <w:rFonts w:hint="eastAsia" w:asciiTheme="minorEastAsia" w:hAnsiTheme="minorEastAsia" w:eastAsiaTheme="minorEastAsia" w:cstheme="minorEastAsia"/>
                <w:b w:val="0"/>
                <w:bCs w:val="0"/>
                <w:sz w:val="21"/>
                <w:szCs w:val="21"/>
                <w:lang w:val="en-US" w:eastAsia="zh-CN"/>
              </w:rPr>
            </w:pPr>
          </w:p>
          <w:p>
            <w:pPr>
              <w:pStyle w:val="2"/>
              <w:keepNext w:val="0"/>
              <w:keepLines w:val="0"/>
              <w:suppressLineNumbers w:val="0"/>
              <w:spacing w:before="0" w:beforeAutospacing="0" w:after="0" w:afterAutospacing="0"/>
              <w:ind w:left="0" w:right="0" w:firstLine="420" w:firstLineChars="200"/>
              <w:rPr>
                <w:rFonts w:hint="eastAsia" w:asciiTheme="minorEastAsia" w:hAnsiTheme="minorEastAsia" w:eastAsiaTheme="minorEastAsia" w:cstheme="minorEastAsia"/>
                <w:b w:val="0"/>
                <w:bCs w:val="0"/>
                <w:sz w:val="21"/>
                <w:szCs w:val="21"/>
                <w:lang w:val="en-US" w:eastAsia="zh-CN"/>
              </w:rPr>
            </w:pPr>
          </w:p>
          <w:p>
            <w:pPr>
              <w:pStyle w:val="3"/>
              <w:rPr>
                <w:rFonts w:hint="eastAsia" w:asciiTheme="minorEastAsia" w:hAnsiTheme="minorEastAsia" w:eastAsiaTheme="minorEastAsia" w:cstheme="minorEastAsia"/>
                <w:b w:val="0"/>
                <w:bCs w:val="0"/>
                <w:sz w:val="21"/>
                <w:szCs w:val="21"/>
                <w:lang w:val="en-US" w:eastAsia="zh-CN"/>
              </w:rPr>
            </w:pPr>
          </w:p>
          <w:p>
            <w:pPr>
              <w:pStyle w:val="5"/>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p>
          <w:p>
            <w:pPr>
              <w:pStyle w:val="2"/>
              <w:rPr>
                <w:rFonts w:hint="eastAsia" w:asciiTheme="minorEastAsia" w:hAnsiTheme="minorEastAsia" w:eastAsiaTheme="minorEastAsia" w:cstheme="minorEastAsia"/>
                <w:b w:val="0"/>
                <w:bCs w:val="0"/>
                <w:sz w:val="21"/>
                <w:szCs w:val="21"/>
                <w:lang w:val="en-US" w:eastAsia="zh-CN"/>
              </w:rPr>
            </w:pPr>
          </w:p>
          <w:p>
            <w:pPr>
              <w:pStyle w:val="3"/>
              <w:rPr>
                <w:rFonts w:hint="eastAsia"/>
                <w:lang w:val="en-US" w:eastAsia="zh-CN"/>
              </w:rPr>
            </w:pPr>
          </w:p>
          <w:p>
            <w:pPr>
              <w:pStyle w:val="2"/>
              <w:keepNext w:val="0"/>
              <w:keepLines w:val="0"/>
              <w:numPr>
                <w:ilvl w:val="0"/>
                <w:numId w:val="1"/>
              </w:numPr>
              <w:suppressLineNumbers w:val="0"/>
              <w:spacing w:before="0" w:beforeAutospacing="0" w:after="0" w:afterAutospacing="0"/>
              <w:ind w:left="0" w:right="0" w:firstLine="420" w:firstLineChars="2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查《六氟化硫净化净化系统运行记录》，对日期、时间、进口压力、开关设备压力、开关设备型号、净化罐温度、净化罐压力、净化罐重量、存储罐压力、存储罐重量、设备流程状态等进行了记录。</w:t>
            </w:r>
          </w:p>
          <w:p>
            <w:pPr>
              <w:pStyle w:val="2"/>
              <w:keepNext w:val="0"/>
              <w:keepLines w:val="0"/>
              <w:numPr>
                <w:ilvl w:val="0"/>
                <w:numId w:val="0"/>
              </w:numPr>
              <w:suppressLineNumbers w:val="0"/>
              <w:spacing w:before="0" w:beforeAutospacing="0" w:after="0" w:afterAutospacing="0"/>
              <w:ind w:right="0" w:rightChars="0" w:firstLine="420" w:firstLineChars="2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查2月18日，10：20分对各项参数进行记录：进口压力：0.52Mpa；开关设备压力：0.52Mpa；开关设备型号：RF-300，净化罐温度：9℃；、净化罐压力：1.44Mpa；、净化罐重量356kg；存储罐压力：1.02Mpa；、存储罐重量：400kg.,由西开领队队长审龙签字确认。</w:t>
            </w:r>
          </w:p>
          <w:p>
            <w:pPr>
              <w:pStyle w:val="2"/>
              <w:keepNext w:val="0"/>
              <w:keepLines w:val="0"/>
              <w:numPr>
                <w:ilvl w:val="0"/>
                <w:numId w:val="0"/>
              </w:numPr>
              <w:suppressLineNumbers w:val="0"/>
              <w:spacing w:before="0" w:beforeAutospacing="0" w:after="0" w:afterAutospacing="0"/>
              <w:ind w:right="0" w:rightChars="0" w:firstLine="420" w:firstLineChars="2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查2月26日，15：30分对各项参数进行记录：进口压力：0.42Mpa；开关设备压力：0.42Mpa；开关设备型号：RF-300，净化罐温度：9℃；、净化罐压力：1.20Mpa；、净化罐重量356kg；存储罐压力：1.33Mpa；、存储罐重量：372kg,由西开领队队长审龙签字确认。</w:t>
            </w:r>
          </w:p>
          <w:p>
            <w:pPr>
              <w:pStyle w:val="2"/>
              <w:keepNext w:val="0"/>
              <w:keepLines w:val="0"/>
              <w:widowControl w:val="0"/>
              <w:numPr>
                <w:ilvl w:val="0"/>
                <w:numId w:val="0"/>
              </w:numPr>
              <w:suppressLineNumbers w:val="0"/>
              <w:spacing w:before="0" w:beforeAutospacing="0" w:after="0" w:afterAutospacing="0" w:line="420" w:lineRule="exact"/>
              <w:ind w:left="0" w:right="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drawing>
                <wp:anchor distT="0" distB="0" distL="114300" distR="114300" simplePos="0" relativeHeight="251673600" behindDoc="0" locked="0" layoutInCell="1" allowOverlap="1">
                  <wp:simplePos x="0" y="0"/>
                  <wp:positionH relativeFrom="column">
                    <wp:posOffset>939800</wp:posOffset>
                  </wp:positionH>
                  <wp:positionV relativeFrom="paragraph">
                    <wp:posOffset>120650</wp:posOffset>
                  </wp:positionV>
                  <wp:extent cx="4183380" cy="2911475"/>
                  <wp:effectExtent l="0" t="0" r="7620" b="9525"/>
                  <wp:wrapNone/>
                  <wp:docPr id="41" name="图片 41" descr="3e0de958885ba10614301c9ca866c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3e0de958885ba10614301c9ca866ca3"/>
                          <pic:cNvPicPr>
                            <a:picLocks noChangeAspect="1"/>
                          </pic:cNvPicPr>
                        </pic:nvPicPr>
                        <pic:blipFill>
                          <a:blip r:embed="rId18"/>
                          <a:stretch>
                            <a:fillRect/>
                          </a:stretch>
                        </pic:blipFill>
                        <pic:spPr>
                          <a:xfrm>
                            <a:off x="0" y="0"/>
                            <a:ext cx="4183380" cy="2911475"/>
                          </a:xfrm>
                          <a:prstGeom prst="rect">
                            <a:avLst/>
                          </a:prstGeom>
                        </pic:spPr>
                      </pic:pic>
                    </a:graphicData>
                  </a:graphic>
                </wp:anchor>
              </w:drawing>
            </w:r>
          </w:p>
          <w:p>
            <w:pPr>
              <w:pStyle w:val="2"/>
              <w:keepNext w:val="0"/>
              <w:keepLines w:val="0"/>
              <w:widowControl w:val="0"/>
              <w:numPr>
                <w:ilvl w:val="0"/>
                <w:numId w:val="0"/>
              </w:numPr>
              <w:suppressLineNumbers w:val="0"/>
              <w:spacing w:before="0" w:beforeAutospacing="0" w:after="0" w:afterAutospacing="0" w:line="420" w:lineRule="exact"/>
              <w:ind w:left="0" w:right="0"/>
              <w:jc w:val="both"/>
              <w:rPr>
                <w:rFonts w:hint="eastAsia" w:asciiTheme="minorEastAsia" w:hAnsiTheme="minorEastAsia" w:eastAsiaTheme="minorEastAsia" w:cstheme="minorEastAsia"/>
                <w:b w:val="0"/>
                <w:bCs w:val="0"/>
                <w:sz w:val="21"/>
                <w:szCs w:val="21"/>
                <w:lang w:val="en-US" w:eastAsia="zh-CN"/>
              </w:rPr>
            </w:pPr>
          </w:p>
          <w:p>
            <w:pPr>
              <w:pStyle w:val="2"/>
              <w:keepNext w:val="0"/>
              <w:keepLines w:val="0"/>
              <w:suppressLineNumbers w:val="0"/>
              <w:spacing w:before="0" w:beforeAutospacing="0" w:after="0" w:afterAutospacing="0"/>
              <w:ind w:left="0" w:right="0" w:firstLine="480"/>
            </w:pPr>
          </w:p>
          <w:p>
            <w:pPr>
              <w:pStyle w:val="3"/>
            </w:pPr>
          </w:p>
          <w:p>
            <w:pPr>
              <w:pStyle w:val="5"/>
            </w:pPr>
          </w:p>
          <w:p/>
          <w:p>
            <w:pPr>
              <w:pStyle w:val="2"/>
            </w:pPr>
          </w:p>
          <w:p>
            <w:pPr>
              <w:pStyle w:val="3"/>
            </w:pPr>
          </w:p>
          <w:p>
            <w:pPr>
              <w:pStyle w:val="5"/>
            </w:pPr>
          </w:p>
          <w:p/>
          <w:p>
            <w:pPr>
              <w:pStyle w:val="2"/>
            </w:pPr>
          </w:p>
          <w:p>
            <w:pPr>
              <w:pStyle w:val="3"/>
            </w:pPr>
          </w:p>
          <w:p>
            <w:pPr>
              <w:pStyle w:val="5"/>
            </w:pPr>
          </w:p>
          <w:p/>
          <w:p>
            <w:pPr>
              <w:pStyle w:val="2"/>
            </w:pPr>
          </w:p>
          <w:p>
            <w:pPr>
              <w:keepNext w:val="0"/>
              <w:keepLines w:val="0"/>
              <w:suppressLineNumbers w:val="0"/>
              <w:tabs>
                <w:tab w:val="left" w:pos="0"/>
              </w:tabs>
              <w:spacing w:before="0" w:beforeAutospacing="0" w:after="0" w:afterAutospacing="0" w:line="360" w:lineRule="auto"/>
              <w:ind w:left="0" w:right="-28"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3、查《抽真空记录单》气室名称：1气室，真空泵型号：RF-CK-V。记录了时间、环境温度、湿度、真空度等参数。</w:t>
            </w:r>
          </w:p>
          <w:p>
            <w:pPr>
              <w:keepNext w:val="0"/>
              <w:keepLines w:val="0"/>
              <w:suppressLineNumbers w:val="0"/>
              <w:tabs>
                <w:tab w:val="left" w:pos="0"/>
              </w:tabs>
              <w:spacing w:before="0" w:beforeAutospacing="0" w:after="0" w:afterAutospacing="0" w:line="360" w:lineRule="auto"/>
              <w:ind w:left="0" w:right="-28"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查2022.2.23，环境温度：17℃；湿度：76%；真空度63pa。</w:t>
            </w:r>
          </w:p>
          <w:p>
            <w:pPr>
              <w:keepNext w:val="0"/>
              <w:keepLines w:val="0"/>
              <w:suppressLineNumbers w:val="0"/>
              <w:tabs>
                <w:tab w:val="left" w:pos="0"/>
              </w:tabs>
              <w:spacing w:before="0" w:beforeAutospacing="0" w:after="0" w:afterAutospacing="0" w:line="360" w:lineRule="auto"/>
              <w:ind w:left="0" w:right="-28" w:firstLine="420" w:firstLineChars="20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2022.3.6，环境温度：18℃；湿度：77%；真空度64pa.</w:t>
            </w:r>
          </w:p>
          <w:p>
            <w:pPr>
              <w:keepNext w:val="0"/>
              <w:keepLines w:val="0"/>
              <w:suppressLineNumbers w:val="0"/>
              <w:tabs>
                <w:tab w:val="left" w:pos="0"/>
              </w:tabs>
              <w:spacing w:before="0" w:beforeAutospacing="0" w:after="0" w:afterAutospacing="0" w:line="360" w:lineRule="auto"/>
              <w:ind w:left="0" w:right="-28" w:firstLine="420" w:firstLineChars="20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开机时间：2022年2月23日，结束时间：2022年3月6日，共计11天。</w:t>
            </w:r>
          </w:p>
          <w:p>
            <w:pPr>
              <w:keepNext w:val="0"/>
              <w:keepLines w:val="0"/>
              <w:suppressLineNumbers w:val="0"/>
              <w:tabs>
                <w:tab w:val="left" w:pos="0"/>
              </w:tabs>
              <w:spacing w:before="0" w:beforeAutospacing="0" w:after="0" w:afterAutospacing="0" w:line="360" w:lineRule="auto"/>
              <w:ind w:left="0" w:right="-28"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674624" behindDoc="0" locked="0" layoutInCell="1" allowOverlap="1">
                  <wp:simplePos x="0" y="0"/>
                  <wp:positionH relativeFrom="column">
                    <wp:posOffset>1917700</wp:posOffset>
                  </wp:positionH>
                  <wp:positionV relativeFrom="paragraph">
                    <wp:posOffset>56515</wp:posOffset>
                  </wp:positionV>
                  <wp:extent cx="2915920" cy="4056380"/>
                  <wp:effectExtent l="0" t="0" r="5080" b="7620"/>
                  <wp:wrapNone/>
                  <wp:docPr id="42" name="图片 42" descr="1122a8f41a2674cd36e22f0a2c8b4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1122a8f41a2674cd36e22f0a2c8b41a"/>
                          <pic:cNvPicPr>
                            <a:picLocks noChangeAspect="1"/>
                          </pic:cNvPicPr>
                        </pic:nvPicPr>
                        <pic:blipFill>
                          <a:blip r:embed="rId19"/>
                          <a:stretch>
                            <a:fillRect/>
                          </a:stretch>
                        </pic:blipFill>
                        <pic:spPr>
                          <a:xfrm>
                            <a:off x="0" y="0"/>
                            <a:ext cx="2915920" cy="4056380"/>
                          </a:xfrm>
                          <a:prstGeom prst="rect">
                            <a:avLst/>
                          </a:prstGeom>
                        </pic:spPr>
                      </pic:pic>
                    </a:graphicData>
                  </a:graphic>
                </wp:anchor>
              </w:drawing>
            </w:r>
          </w:p>
          <w:p>
            <w:pPr>
              <w:pStyle w:val="2"/>
              <w:rPr>
                <w:rFonts w:hint="default"/>
                <w:lang w:val="en-US" w:eastAsia="zh-CN"/>
              </w:rPr>
            </w:pPr>
          </w:p>
          <w:p>
            <w:pPr>
              <w:pStyle w:val="3"/>
              <w:rPr>
                <w:rFonts w:hint="default"/>
                <w:lang w:val="en-US" w:eastAsia="zh-CN"/>
              </w:rPr>
            </w:pPr>
          </w:p>
          <w:p>
            <w:pPr>
              <w:pStyle w:val="5"/>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5"/>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5"/>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5"/>
              <w:rPr>
                <w:rFonts w:hint="default"/>
                <w:lang w:val="en-US" w:eastAsia="zh-CN"/>
              </w:rPr>
            </w:pPr>
          </w:p>
          <w:p>
            <w:pPr>
              <w:rPr>
                <w:rFonts w:hint="default"/>
                <w:lang w:val="en-US" w:eastAsia="zh-CN"/>
              </w:rPr>
            </w:pPr>
          </w:p>
          <w:p>
            <w:pPr>
              <w:pStyle w:val="2"/>
              <w:rPr>
                <w:rFonts w:hint="default"/>
                <w:lang w:val="en-US" w:eastAsia="zh-CN"/>
              </w:rPr>
            </w:pPr>
          </w:p>
          <w:p>
            <w:pPr>
              <w:pStyle w:val="5"/>
              <w:rPr>
                <w:rFonts w:hint="default"/>
                <w:lang w:val="en-US" w:eastAsia="zh-CN"/>
              </w:rPr>
            </w:pPr>
          </w:p>
          <w:p>
            <w:pPr>
              <w:keepNext w:val="0"/>
              <w:keepLines w:val="0"/>
              <w:numPr>
                <w:ilvl w:val="0"/>
                <w:numId w:val="1"/>
              </w:numPr>
              <w:suppressLineNumbers w:val="0"/>
              <w:tabs>
                <w:tab w:val="left" w:pos="0"/>
              </w:tabs>
              <w:spacing w:before="0" w:beforeAutospacing="0" w:after="0" w:afterAutospacing="0" w:line="360" w:lineRule="auto"/>
              <w:ind w:left="0" w:leftChars="0" w:right="-28"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净化完成，由甲方队长对本次工作量进行确认，查看了《CIS的SF6气体回收处理确认单》。对各项工作内容进行了描述，包括工作地点、距离、产品名称、处理原因、处理内容、工作时间、回收处理和回充气体重量、等待天数、财务结算等内容。双反签字确认。</w:t>
            </w:r>
          </w:p>
          <w:p>
            <w:pPr>
              <w:pStyle w:val="2"/>
              <w:widowControl w:val="0"/>
              <w:numPr>
                <w:ilvl w:val="0"/>
                <w:numId w:val="0"/>
              </w:numPr>
              <w:spacing w:line="420" w:lineRule="exact"/>
              <w:jc w:val="both"/>
              <w:rPr>
                <w:rFonts w:hint="default"/>
                <w:lang w:val="en-US" w:eastAsia="zh-CN"/>
              </w:rPr>
            </w:pPr>
          </w:p>
          <w:p>
            <w:pPr>
              <w:pStyle w:val="3"/>
              <w:rPr>
                <w:rFonts w:hint="default"/>
                <w:lang w:val="en-US"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675648" behindDoc="0" locked="0" layoutInCell="1" allowOverlap="1">
                  <wp:simplePos x="0" y="0"/>
                  <wp:positionH relativeFrom="column">
                    <wp:posOffset>1581150</wp:posOffset>
                  </wp:positionH>
                  <wp:positionV relativeFrom="paragraph">
                    <wp:posOffset>87630</wp:posOffset>
                  </wp:positionV>
                  <wp:extent cx="2947035" cy="4169410"/>
                  <wp:effectExtent l="0" t="0" r="12065" b="8890"/>
                  <wp:wrapNone/>
                  <wp:docPr id="43" name="图片 43" descr="592784ce2004f84de0ac6b5f88bf3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592784ce2004f84de0ac6b5f88bf3dd"/>
                          <pic:cNvPicPr>
                            <a:picLocks noChangeAspect="1"/>
                          </pic:cNvPicPr>
                        </pic:nvPicPr>
                        <pic:blipFill>
                          <a:blip r:embed="rId20"/>
                          <a:stretch>
                            <a:fillRect/>
                          </a:stretch>
                        </pic:blipFill>
                        <pic:spPr>
                          <a:xfrm>
                            <a:off x="0" y="0"/>
                            <a:ext cx="2947035" cy="4169410"/>
                          </a:xfrm>
                          <a:prstGeom prst="rect">
                            <a:avLst/>
                          </a:prstGeom>
                        </pic:spPr>
                      </pic:pic>
                    </a:graphicData>
                  </a:graphic>
                </wp:anchor>
              </w:drawing>
            </w:r>
          </w:p>
          <w:p>
            <w:pPr>
              <w:pStyle w:val="5"/>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5"/>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5"/>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5"/>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5"/>
              <w:rPr>
                <w:rFonts w:hint="default"/>
                <w:lang w:val="en-US" w:eastAsia="zh-CN"/>
              </w:rPr>
            </w:pPr>
          </w:p>
          <w:p>
            <w:pPr>
              <w:pStyle w:val="5"/>
              <w:rPr>
                <w:rFonts w:hint="default"/>
                <w:lang w:val="en-US" w:eastAsia="zh-CN"/>
              </w:rPr>
            </w:pPr>
          </w:p>
          <w:p>
            <w:pPr>
              <w:pStyle w:val="2"/>
              <w:rPr>
                <w:rFonts w:hint="default"/>
                <w:lang w:val="en-US" w:eastAsia="zh-CN"/>
              </w:rPr>
            </w:pPr>
          </w:p>
          <w:p>
            <w:pPr>
              <w:keepNext w:val="0"/>
              <w:keepLines w:val="0"/>
              <w:suppressLineNumbers w:val="0"/>
              <w:tabs>
                <w:tab w:val="left" w:pos="0"/>
              </w:tabs>
              <w:spacing w:before="0" w:beforeAutospacing="0" w:after="0" w:afterAutospacing="0" w:line="360" w:lineRule="auto"/>
              <w:ind w:left="0" w:right="-28" w:firstLine="422"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d</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z w:val="21"/>
                <w:szCs w:val="21"/>
                <w:lang w:val="en-US" w:eastAsia="zh-CN"/>
              </w:rPr>
              <w:t>设备配置</w:t>
            </w:r>
            <w:r>
              <w:rPr>
                <w:rFonts w:hint="eastAsia" w:asciiTheme="minorEastAsia" w:hAnsiTheme="minorEastAsia" w:eastAsiaTheme="minorEastAsia" w:cstheme="minorEastAsia"/>
                <w:sz w:val="21"/>
                <w:szCs w:val="21"/>
              </w:rPr>
              <w:t>，设备</w:t>
            </w:r>
            <w:r>
              <w:rPr>
                <w:rFonts w:hint="eastAsia" w:cs="Times New Roman"/>
                <w:color w:val="auto"/>
                <w:szCs w:val="21"/>
                <w:lang w:val="en-US" w:eastAsia="zh-CN"/>
              </w:rPr>
              <w:t>六氟化硫回收车、K600 3人座钢瓦楞厢车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状态完好</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满足Q:</w:t>
            </w:r>
            <w:r>
              <w:rPr>
                <w:rFonts w:hint="eastAsia" w:asciiTheme="minorEastAsia" w:hAnsiTheme="minorEastAsia" w:eastAsiaTheme="minorEastAsia" w:cstheme="minorEastAsia"/>
                <w:b/>
                <w:bCs/>
                <w:sz w:val="21"/>
                <w:szCs w:val="21"/>
                <w:lang w:eastAsia="zh-CN"/>
              </w:rPr>
              <w:t>六氟化硫净化服务</w:t>
            </w:r>
            <w:r>
              <w:rPr>
                <w:rFonts w:hint="eastAsia" w:asciiTheme="minorEastAsia" w:hAnsiTheme="minorEastAsia" w:eastAsiaTheme="minorEastAsia" w:cstheme="minorEastAsia"/>
                <w:sz w:val="21"/>
                <w:szCs w:val="21"/>
              </w:rPr>
              <w:t>需求。</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现场巡视：办公环境光照、温度适宜，通风良好，电路布线合理、电气插座完整，未见破损，办公场所物品摆放整齐、有序，未见随意乱放私人物品的情况，未见用电不当等安全隐患及不良影响现象。</w:t>
            </w:r>
          </w:p>
          <w:p>
            <w:pPr>
              <w:keepNext w:val="0"/>
              <w:keepLines w:val="0"/>
              <w:numPr>
                <w:ilvl w:val="0"/>
                <w:numId w:val="0"/>
              </w:numPr>
              <w:suppressLineNumbers w:val="0"/>
              <w:spacing w:before="0" w:beforeAutospacing="0" w:after="0" w:afterAutospacing="0" w:line="360" w:lineRule="auto"/>
              <w:ind w:left="0" w:right="0" w:firstLine="48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确定并提供了服务要求所需的工作环境，工作环境适宜，现有工作环境能满足提供合格服务的需要。</w:t>
            </w:r>
          </w:p>
          <w:p>
            <w:pPr>
              <w:pStyle w:val="2"/>
              <w:rPr>
                <w:rFonts w:hint="default"/>
                <w:lang w:val="en-US" w:eastAsia="zh-CN"/>
              </w:rPr>
            </w:pPr>
            <w:r>
              <w:rPr>
                <w:rFonts w:hint="eastAsia" w:asciiTheme="minorEastAsia" w:hAnsiTheme="minorEastAsia" w:eastAsiaTheme="minorEastAsia" w:cstheme="minorEastAsia"/>
                <w:sz w:val="21"/>
                <w:szCs w:val="21"/>
                <w:lang w:val="en-US" w:eastAsia="zh-CN"/>
              </w:rPr>
              <w:t xml:space="preserve">     现场配置了安全帽、防护服、安全警示标识等。</w:t>
            </w:r>
          </w:p>
          <w:p>
            <w:pPr>
              <w:pStyle w:val="2"/>
              <w:keepNext w:val="0"/>
              <w:keepLines w:val="0"/>
              <w:suppressLineNumbers w:val="0"/>
              <w:spacing w:before="0" w:beforeAutospacing="0" w:after="0" w:afterAutospacing="0"/>
              <w:ind w:left="0" w:right="0"/>
              <w:rPr>
                <w:rFonts w:hint="eastAsia"/>
                <w:sz w:val="21"/>
                <w:szCs w:val="21"/>
                <w:lang w:val="en-US" w:eastAsia="zh-CN"/>
              </w:rPr>
            </w:pPr>
          </w:p>
          <w:p>
            <w:pPr>
              <w:keepNext w:val="0"/>
              <w:keepLines w:val="0"/>
              <w:suppressLineNumbers w:val="0"/>
              <w:tabs>
                <w:tab w:val="left" w:pos="-52"/>
              </w:tabs>
              <w:spacing w:before="0" w:beforeAutospacing="0" w:after="0" w:afterAutospacing="0" w:line="360" w:lineRule="auto"/>
              <w:ind w:left="0" w:right="0" w:firstLine="422" w:firstLineChars="2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sz w:val="21"/>
                <w:szCs w:val="21"/>
                <w:lang w:val="en-US" w:eastAsia="zh-CN"/>
              </w:rPr>
              <w:t>e</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sz w:val="21"/>
                <w:szCs w:val="21"/>
              </w:rPr>
              <w:t>根据部门领导介绍及查证，公司目前现有一支专业的</w:t>
            </w:r>
            <w:r>
              <w:rPr>
                <w:rFonts w:hint="eastAsia" w:asciiTheme="minorEastAsia" w:hAnsiTheme="minorEastAsia" w:eastAsiaTheme="minorEastAsia" w:cstheme="minorEastAsia"/>
                <w:sz w:val="21"/>
                <w:szCs w:val="21"/>
                <w:lang w:val="en-US" w:eastAsia="zh-CN"/>
              </w:rPr>
              <w:t>六氟化硫净化服务</w:t>
            </w:r>
            <w:r>
              <w:rPr>
                <w:rFonts w:hint="eastAsia" w:asciiTheme="minorEastAsia" w:hAnsiTheme="minorEastAsia" w:eastAsiaTheme="minorEastAsia" w:cstheme="minorEastAsia"/>
                <w:sz w:val="21"/>
                <w:szCs w:val="21"/>
              </w:rPr>
              <w:t>人员，</w:t>
            </w:r>
            <w:r>
              <w:rPr>
                <w:rFonts w:hint="eastAsia" w:asciiTheme="minorEastAsia" w:hAnsiTheme="minorEastAsia" w:eastAsiaTheme="minorEastAsia" w:cstheme="minorEastAsia"/>
                <w:sz w:val="21"/>
                <w:szCs w:val="21"/>
                <w:lang w:val="en-US" w:eastAsia="zh-CN"/>
              </w:rPr>
              <w:t>其中技术部技术员刘新峰、巴亚西、贺卫超具有</w:t>
            </w:r>
            <w:r>
              <w:rPr>
                <w:rFonts w:hint="eastAsia" w:asciiTheme="minorEastAsia" w:hAnsiTheme="minorEastAsia" w:eastAsiaTheme="minorEastAsia" w:cstheme="minorEastAsia"/>
                <w:color w:val="auto"/>
                <w:sz w:val="21"/>
                <w:szCs w:val="21"/>
                <w:lang w:val="en-US" w:eastAsia="zh-CN"/>
              </w:rPr>
              <w:t>相关特种作业证件，详见7.1.2条款。</w:t>
            </w:r>
          </w:p>
          <w:p>
            <w:pPr>
              <w:keepNext w:val="0"/>
              <w:keepLines w:val="0"/>
              <w:numPr>
                <w:ilvl w:val="0"/>
                <w:numId w:val="0"/>
              </w:numPr>
              <w:suppressLineNumbers w:val="0"/>
              <w:spacing w:before="0" w:beforeAutospacing="0" w:after="0" w:afterAutospacing="0" w:line="360" w:lineRule="auto"/>
              <w:ind w:left="0" w:right="0" w:firstLine="480"/>
              <w:rPr>
                <w:rFonts w:hint="eastAsia" w:asciiTheme="minorEastAsia" w:hAnsiTheme="minorEastAsia" w:eastAsiaTheme="minorEastAsia" w:cstheme="minorEastAsia"/>
                <w:sz w:val="21"/>
                <w:szCs w:val="21"/>
                <w:lang w:val="en-US" w:eastAsia="zh-CN"/>
              </w:rPr>
            </w:pPr>
          </w:p>
          <w:p>
            <w:pPr>
              <w:keepNext w:val="0"/>
              <w:keepLines w:val="0"/>
              <w:suppressLineNumbers w:val="0"/>
              <w:tabs>
                <w:tab w:val="left" w:pos="6597"/>
              </w:tabs>
              <w:spacing w:before="0" w:beforeAutospacing="0" w:after="0" w:afterAutospacing="0" w:line="360" w:lineRule="auto"/>
              <w:ind w:left="479" w:leftChars="228" w:right="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f)、</w:t>
            </w:r>
            <w:r>
              <w:rPr>
                <w:rFonts w:hint="eastAsia" w:asciiTheme="minorEastAsia" w:hAnsiTheme="minorEastAsia" w:eastAsiaTheme="minorEastAsia" w:cstheme="minorEastAsia"/>
                <w:sz w:val="21"/>
                <w:szCs w:val="21"/>
                <w:lang w:val="en-US" w:eastAsia="zh-CN"/>
              </w:rPr>
              <w:t>公司对六氟化硫净化服务过程均能够进行监测，无需要确认的过程。</w:t>
            </w:r>
          </w:p>
          <w:p>
            <w:pPr>
              <w:keepNext w:val="0"/>
              <w:keepLines w:val="0"/>
              <w:suppressLineNumbers w:val="0"/>
              <w:spacing w:before="0" w:beforeAutospacing="0" w:after="0" w:afterAutospacing="0" w:line="360" w:lineRule="auto"/>
              <w:ind w:left="0" w:right="0" w:firstLine="422"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g)、</w:t>
            </w:r>
            <w:r>
              <w:rPr>
                <w:rFonts w:hint="eastAsia" w:asciiTheme="minorEastAsia" w:hAnsiTheme="minorEastAsia" w:eastAsiaTheme="minorEastAsia" w:cstheme="minorEastAsia"/>
                <w:sz w:val="21"/>
                <w:szCs w:val="21"/>
                <w:lang w:val="en-US" w:eastAsia="zh-CN"/>
              </w:rPr>
              <w:t>运行维护服务过程通过专人负责、专用标识等措施起到了防错作用；公司编制的</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六氟化硫净化规范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《六氟化硫净化系统运行记录》、《现场工作流程确认单》、《CIS的SH6气体回收处理确认单》、《外部工程竣工报告》规定了操作的步骤、方法、注意事项等，操作人员直接按要求进行控制，防止人为错误。</w:t>
            </w: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根据部门经理介绍，采取上述防止人为错误的措施，效果明显。质量体系运行以来，没有发生人为错误造成过程失控的情况。</w:t>
            </w:r>
          </w:p>
          <w:p>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bCs/>
                <w:sz w:val="21"/>
                <w:szCs w:val="21"/>
                <w:lang w:val="en-US" w:eastAsia="zh-CN"/>
              </w:rPr>
            </w:pPr>
          </w:p>
          <w:p>
            <w:pPr>
              <w:keepNext w:val="0"/>
              <w:keepLines w:val="0"/>
              <w:suppressLineNumbers w:val="0"/>
              <w:spacing w:before="0" w:beforeAutospacing="0" w:after="0" w:afterAutospacing="0" w:line="360" w:lineRule="auto"/>
              <w:ind w:left="0" w:right="0" w:firstLine="422" w:firstLineChars="20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h)、</w:t>
            </w:r>
            <w:r>
              <w:rPr>
                <w:rFonts w:hint="eastAsia" w:asciiTheme="minorEastAsia" w:hAnsiTheme="minorEastAsia" w:eastAsiaTheme="minorEastAsia" w:cstheme="minorEastAsia"/>
                <w:sz w:val="21"/>
                <w:szCs w:val="21"/>
              </w:rPr>
              <w:t>查看的</w:t>
            </w:r>
            <w:r>
              <w:rPr>
                <w:rFonts w:hint="eastAsia" w:asciiTheme="minorEastAsia" w:hAnsiTheme="minorEastAsia" w:eastAsiaTheme="minorEastAsia" w:cstheme="minorEastAsia"/>
                <w:sz w:val="21"/>
                <w:szCs w:val="21"/>
                <w:lang w:val="en-US" w:eastAsia="zh-CN"/>
              </w:rPr>
              <w:t>技术部提供湖南长沙国网湖南检修500KV鼎功变电站项目验收报告。见8.5.1c）检查表。</w:t>
            </w:r>
          </w:p>
          <w:p>
            <w:pPr>
              <w:pStyle w:val="2"/>
              <w:keepNext w:val="0"/>
              <w:keepLines w:val="0"/>
              <w:suppressLineNumbers w:val="0"/>
              <w:spacing w:before="0" w:beforeAutospacing="0" w:after="0" w:afterAutospacing="0"/>
              <w:ind w:left="0" w:right="0"/>
              <w:rPr>
                <w:rFonts w:hint="eastAsia"/>
                <w:sz w:val="21"/>
                <w:szCs w:val="21"/>
              </w:rPr>
            </w:pPr>
          </w:p>
          <w:p>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通过</w:t>
            </w:r>
            <w:r>
              <w:rPr>
                <w:rFonts w:hint="eastAsia" w:asciiTheme="minorEastAsia" w:hAnsiTheme="minorEastAsia" w:eastAsiaTheme="minorEastAsia" w:cstheme="minorEastAsia"/>
                <w:sz w:val="21"/>
                <w:szCs w:val="21"/>
              </w:rPr>
              <w:t>观察：</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技术部刘新峰</w:t>
            </w:r>
            <w:r>
              <w:rPr>
                <w:rFonts w:hint="eastAsia" w:asciiTheme="minorEastAsia" w:hAnsiTheme="minorEastAsia" w:eastAsiaTheme="minorEastAsia" w:cstheme="minorEastAsia"/>
                <w:color w:val="auto"/>
                <w:sz w:val="21"/>
                <w:szCs w:val="21"/>
              </w:rPr>
              <w:t>正在为</w:t>
            </w:r>
            <w:r>
              <w:rPr>
                <w:rFonts w:hint="eastAsia" w:ascii="宋体" w:hAnsi="宋体" w:eastAsiaTheme="minorEastAsia"/>
                <w:color w:val="auto"/>
                <w:sz w:val="21"/>
                <w:szCs w:val="21"/>
                <w:lang w:val="en-US" w:eastAsia="zh-CN"/>
              </w:rPr>
              <w:t>国网陕西省电力公司南党变电站项目</w:t>
            </w:r>
            <w:r>
              <w:rPr>
                <w:rFonts w:hint="eastAsia" w:asciiTheme="minorEastAsia" w:hAnsiTheme="minorEastAsia" w:eastAsiaTheme="minorEastAsia" w:cstheme="minorEastAsia"/>
                <w:color w:val="auto"/>
                <w:sz w:val="21"/>
                <w:szCs w:val="21"/>
                <w:lang w:val="en-US" w:eastAsia="zh-CN"/>
              </w:rPr>
              <w:t>实施六氟化硫净化服务,设备做好了接地线，运行正常，各项参数运行符合要求</w:t>
            </w:r>
            <w:r>
              <w:rPr>
                <w:rFonts w:hint="eastAsia" w:asciiTheme="minorEastAsia" w:hAnsiTheme="minorEastAsia" w:eastAsiaTheme="minorEastAsia" w:cstheme="minorEastAsia"/>
                <w:color w:val="auto"/>
                <w:sz w:val="21"/>
                <w:szCs w:val="21"/>
                <w:lang w:eastAsia="zh-CN"/>
              </w:rPr>
              <w:t>。</w:t>
            </w:r>
          </w:p>
          <w:p>
            <w:pPr>
              <w:keepNext w:val="0"/>
              <w:keepLines w:val="0"/>
              <w:suppressLineNumbers w:val="0"/>
              <w:spacing w:before="0" w:beforeAutospacing="0" w:after="0" w:afterAutospacing="0" w:line="360" w:lineRule="auto"/>
              <w:ind w:left="0" w:leftChars="0" w:right="0" w:rightChars="0" w:firstLine="480" w:firstLineChars="0"/>
              <w:jc w:val="left"/>
              <w:rPr>
                <w:rFonts w:hint="eastAsia" w:ascii="宋体" w:hAnsi="宋体" w:eastAsia="宋体" w:cs="宋体"/>
                <w:color w:val="0000FF"/>
                <w:sz w:val="21"/>
                <w:szCs w:val="21"/>
              </w:rPr>
            </w:pPr>
          </w:p>
        </w:tc>
        <w:tc>
          <w:tcPr>
            <w:tcW w:w="732"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3" w:type="dxa"/>
            <w:vAlign w:val="top"/>
          </w:tcPr>
          <w:p>
            <w:pPr>
              <w:spacing w:line="400" w:lineRule="atLeast"/>
              <w:rPr>
                <w:rFonts w:hint="eastAsia" w:ascii="宋体" w:hAnsi="宋体" w:eastAsia="宋体" w:cs="Arial"/>
                <w:kern w:val="2"/>
                <w:sz w:val="21"/>
                <w:szCs w:val="21"/>
                <w:lang w:val="en-US" w:eastAsia="zh-CN" w:bidi="ar-SA"/>
              </w:rPr>
            </w:pPr>
            <w:r>
              <w:rPr>
                <w:rFonts w:hint="eastAsia" w:ascii="宋体" w:hAnsi="宋体"/>
                <w:szCs w:val="21"/>
              </w:rPr>
              <w:t>标识及可追溯性</w:t>
            </w:r>
          </w:p>
        </w:tc>
        <w:tc>
          <w:tcPr>
            <w:tcW w:w="965" w:type="dxa"/>
            <w:vAlign w:val="top"/>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8.5.2</w:t>
            </w:r>
          </w:p>
          <w:p>
            <w:pPr>
              <w:adjustRightInd w:val="0"/>
              <w:snapToGrid w:val="0"/>
              <w:jc w:val="center"/>
              <w:rPr>
                <w:rFonts w:hint="eastAsia" w:ascii="宋体" w:hAnsi="宋体" w:eastAsia="宋体" w:cs="Arial"/>
                <w:kern w:val="2"/>
                <w:sz w:val="21"/>
                <w:szCs w:val="21"/>
                <w:lang w:val="en-US" w:eastAsia="zh-CN" w:bidi="ar-SA"/>
              </w:rPr>
            </w:pPr>
          </w:p>
        </w:tc>
        <w:tc>
          <w:tcPr>
            <w:tcW w:w="10927" w:type="dxa"/>
            <w:vAlign w:val="top"/>
          </w:tcPr>
          <w:p>
            <w:pPr>
              <w:spacing w:line="400" w:lineRule="exact"/>
              <w:ind w:firstLine="420" w:firstLineChars="200"/>
              <w:jc w:val="left"/>
              <w:rPr>
                <w:rFonts w:ascii="宋体" w:hAnsi="宋体"/>
                <w:szCs w:val="21"/>
              </w:rPr>
            </w:pPr>
            <w:r>
              <w:rPr>
                <w:rFonts w:hint="eastAsia" w:ascii="宋体" w:hAnsi="宋体"/>
                <w:szCs w:val="21"/>
              </w:rPr>
              <w:t>查《质量手册》，文件规定了对产品、检验状态及唯一性标识做出了规定。</w:t>
            </w:r>
          </w:p>
          <w:p>
            <w:pPr>
              <w:spacing w:line="400" w:lineRule="exact"/>
              <w:ind w:firstLine="420" w:firstLineChars="200"/>
              <w:rPr>
                <w:rFonts w:hint="eastAsia" w:asciiTheme="minorEastAsia" w:hAnsiTheme="minorEastAsia" w:eastAsiaTheme="minorEastAsia" w:cstheme="minorEastAsia"/>
                <w:bCs w:val="0"/>
                <w:spacing w:val="0"/>
                <w:kern w:val="2"/>
                <w:sz w:val="21"/>
                <w:szCs w:val="21"/>
                <w:highlight w:val="green"/>
                <w:lang w:val="en-US" w:eastAsia="zh-CN" w:bidi="ar-SA"/>
              </w:rPr>
            </w:pPr>
            <w:r>
              <w:rPr>
                <w:rFonts w:hint="eastAsia" w:ascii="宋体" w:hAnsi="宋体"/>
                <w:szCs w:val="21"/>
              </w:rPr>
              <w:t>在</w:t>
            </w:r>
            <w:r>
              <w:rPr>
                <w:rFonts w:hint="eastAsia" w:ascii="宋体" w:hAnsi="宋体"/>
                <w:szCs w:val="21"/>
                <w:lang w:val="en-US" w:eastAsia="zh-CN"/>
              </w:rPr>
              <w:t>净化技术服务过程</w:t>
            </w:r>
            <w:r>
              <w:rPr>
                <w:rFonts w:hint="eastAsia" w:ascii="宋体" w:hAnsi="宋体"/>
                <w:szCs w:val="21"/>
              </w:rPr>
              <w:t>，通过检验记录进行追溯，主要记录内容：检验日期，</w:t>
            </w:r>
            <w:r>
              <w:rPr>
                <w:rFonts w:hint="eastAsia" w:ascii="宋体" w:hAnsi="宋体"/>
                <w:szCs w:val="21"/>
                <w:lang w:val="en-US" w:eastAsia="zh-CN"/>
              </w:rPr>
              <w:t>净化阶段</w:t>
            </w:r>
            <w:r>
              <w:rPr>
                <w:rFonts w:hint="eastAsia" w:ascii="宋体" w:hAnsi="宋体"/>
                <w:szCs w:val="21"/>
              </w:rPr>
              <w:t>、</w:t>
            </w:r>
            <w:r>
              <w:rPr>
                <w:rFonts w:hint="eastAsia" w:ascii="宋体" w:hAnsi="宋体"/>
                <w:szCs w:val="21"/>
                <w:lang w:val="en-US" w:eastAsia="zh-CN"/>
              </w:rPr>
              <w:t>人员</w:t>
            </w:r>
            <w:r>
              <w:rPr>
                <w:rFonts w:hint="eastAsia" w:ascii="宋体" w:hAnsi="宋体"/>
                <w:szCs w:val="21"/>
              </w:rPr>
              <w:t>、数量等；</w:t>
            </w:r>
          </w:p>
        </w:tc>
        <w:tc>
          <w:tcPr>
            <w:tcW w:w="732"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173" w:type="dxa"/>
            <w:vAlign w:val="top"/>
          </w:tcPr>
          <w:p>
            <w:pPr>
              <w:spacing w:line="360" w:lineRule="auto"/>
              <w:rPr>
                <w:rFonts w:hint="eastAsia" w:ascii="宋体" w:hAnsi="宋体" w:eastAsia="宋体" w:cs="Arial"/>
                <w:kern w:val="2"/>
                <w:sz w:val="21"/>
                <w:szCs w:val="21"/>
                <w:lang w:val="en-US" w:eastAsia="zh-CN" w:bidi="ar-SA"/>
              </w:rPr>
            </w:pPr>
            <w:r>
              <w:rPr>
                <w:rFonts w:hint="eastAsia" w:ascii="宋体" w:hAnsi="宋体" w:cs="Arial"/>
                <w:szCs w:val="21"/>
              </w:rPr>
              <w:t>顾客及外部供方财产</w:t>
            </w:r>
          </w:p>
        </w:tc>
        <w:tc>
          <w:tcPr>
            <w:tcW w:w="965" w:type="dxa"/>
            <w:vAlign w:val="top"/>
          </w:tcPr>
          <w:p>
            <w:pPr>
              <w:spacing w:line="360" w:lineRule="auto"/>
              <w:rPr>
                <w:rFonts w:hint="eastAsia" w:ascii="宋体" w:hAnsi="宋体" w:eastAsia="宋体" w:cs="Arial"/>
                <w:kern w:val="2"/>
                <w:sz w:val="21"/>
                <w:szCs w:val="21"/>
                <w:lang w:val="en-US" w:eastAsia="zh-CN" w:bidi="ar-SA"/>
              </w:rPr>
            </w:pPr>
            <w:r>
              <w:rPr>
                <w:rFonts w:hint="eastAsia" w:ascii="宋体" w:hAnsi="宋体" w:cs="Arial"/>
                <w:szCs w:val="21"/>
              </w:rPr>
              <w:t>Q</w:t>
            </w:r>
            <w:r>
              <w:rPr>
                <w:rFonts w:ascii="宋体" w:hAnsi="宋体" w:cs="Arial"/>
                <w:szCs w:val="21"/>
              </w:rPr>
              <w:t>8.5.3</w:t>
            </w:r>
          </w:p>
        </w:tc>
        <w:tc>
          <w:tcPr>
            <w:tcW w:w="10927" w:type="dxa"/>
            <w:vAlign w:val="center"/>
          </w:tcPr>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公司提</w:t>
            </w:r>
            <w:r>
              <w:rPr>
                <w:rFonts w:hint="eastAsia" w:ascii="宋体" w:hAnsi="宋体" w:cs="宋体"/>
                <w:szCs w:val="21"/>
                <w:lang w:eastAsia="zh-CN"/>
              </w:rPr>
              <w:t>六氟化硫净化服务</w:t>
            </w:r>
            <w:r>
              <w:rPr>
                <w:rFonts w:hint="eastAsia"/>
                <w:color w:val="000000"/>
                <w:szCs w:val="21"/>
              </w:rPr>
              <w:t>，</w:t>
            </w:r>
            <w:r>
              <w:rPr>
                <w:rFonts w:hint="eastAsia"/>
                <w:color w:val="000000"/>
                <w:szCs w:val="21"/>
                <w:lang w:val="en-US" w:eastAsia="zh-CN"/>
              </w:rPr>
              <w:t>主要的顾客财产为顾客信息</w:t>
            </w:r>
            <w:r>
              <w:rPr>
                <w:rFonts w:hint="eastAsia"/>
                <w:color w:val="000000"/>
                <w:szCs w:val="21"/>
              </w:rPr>
              <w:t>，截止目前</w:t>
            </w:r>
            <w:r>
              <w:rPr>
                <w:rFonts w:hint="eastAsia"/>
                <w:color w:val="000000"/>
                <w:szCs w:val="21"/>
                <w:lang w:val="en-US" w:eastAsia="zh-CN"/>
              </w:rPr>
              <w:t>顾客</w:t>
            </w:r>
            <w:r>
              <w:rPr>
                <w:rFonts w:hint="eastAsia"/>
                <w:color w:val="000000"/>
                <w:szCs w:val="21"/>
              </w:rPr>
              <w:t>信息中未发现使用和管理不当造成问题的情况。</w:t>
            </w:r>
          </w:p>
        </w:tc>
        <w:tc>
          <w:tcPr>
            <w:tcW w:w="732"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173" w:type="dxa"/>
            <w:vAlign w:val="top"/>
          </w:tcPr>
          <w:p>
            <w:pPr>
              <w:spacing w:line="360" w:lineRule="auto"/>
              <w:rPr>
                <w:rFonts w:hint="eastAsia" w:ascii="宋体" w:hAnsi="宋体" w:eastAsia="宋体" w:cs="Arial"/>
                <w:kern w:val="2"/>
                <w:sz w:val="21"/>
                <w:szCs w:val="21"/>
                <w:lang w:val="en-US" w:eastAsia="zh-CN" w:bidi="ar-SA"/>
              </w:rPr>
            </w:pPr>
            <w:r>
              <w:rPr>
                <w:rFonts w:hint="eastAsia" w:ascii="宋体" w:hAnsi="宋体" w:cs="Arial"/>
                <w:szCs w:val="21"/>
              </w:rPr>
              <w:t>产品防护及服务交付后的活动</w:t>
            </w:r>
          </w:p>
        </w:tc>
        <w:tc>
          <w:tcPr>
            <w:tcW w:w="965" w:type="dxa"/>
            <w:vAlign w:val="top"/>
          </w:tcPr>
          <w:p>
            <w:pPr>
              <w:spacing w:line="360" w:lineRule="auto"/>
              <w:rPr>
                <w:rFonts w:ascii="宋体" w:hAnsi="宋体" w:cs="Arial"/>
                <w:szCs w:val="21"/>
              </w:rPr>
            </w:pPr>
            <w:r>
              <w:rPr>
                <w:rFonts w:hint="eastAsia" w:ascii="宋体" w:hAnsi="宋体" w:cs="Arial"/>
                <w:szCs w:val="21"/>
              </w:rPr>
              <w:t>Q</w:t>
            </w:r>
            <w:r>
              <w:rPr>
                <w:rFonts w:ascii="宋体" w:hAnsi="宋体" w:cs="Arial"/>
                <w:szCs w:val="21"/>
              </w:rPr>
              <w:t>8.5.4</w:t>
            </w:r>
          </w:p>
          <w:p>
            <w:pPr>
              <w:spacing w:line="360" w:lineRule="auto"/>
              <w:rPr>
                <w:rFonts w:hint="eastAsia" w:ascii="宋体" w:hAnsi="宋体" w:eastAsia="宋体" w:cs="Arial"/>
                <w:kern w:val="2"/>
                <w:sz w:val="21"/>
                <w:szCs w:val="21"/>
                <w:lang w:val="en-US" w:eastAsia="zh-CN" w:bidi="ar-SA"/>
              </w:rPr>
            </w:pPr>
            <w:r>
              <w:rPr>
                <w:rFonts w:hint="eastAsia" w:ascii="宋体" w:hAnsi="宋体" w:cs="Arial"/>
                <w:szCs w:val="21"/>
              </w:rPr>
              <w:t>Q</w:t>
            </w:r>
            <w:r>
              <w:rPr>
                <w:rFonts w:ascii="宋体" w:hAnsi="宋体" w:cs="Arial"/>
                <w:szCs w:val="21"/>
              </w:rPr>
              <w:t>8.5.5</w:t>
            </w:r>
          </w:p>
        </w:tc>
        <w:tc>
          <w:tcPr>
            <w:tcW w:w="10927" w:type="dxa"/>
            <w:vAlign w:val="center"/>
          </w:tcPr>
          <w:p>
            <w:pPr>
              <w:spacing w:line="360" w:lineRule="auto"/>
              <w:ind w:firstLine="420" w:firstLineChars="200"/>
              <w:rPr>
                <w:rFonts w:hint="default" w:ascii="宋体" w:hAnsi="宋体" w:eastAsia="宋体" w:cs="宋体"/>
                <w:szCs w:val="21"/>
              </w:rPr>
            </w:pPr>
            <w:r>
              <w:rPr>
                <w:rFonts w:hint="eastAsia" w:ascii="宋体" w:hAnsi="宋体" w:eastAsia="宋体" w:cs="宋体"/>
                <w:szCs w:val="21"/>
              </w:rPr>
              <w:t>公司对</w:t>
            </w:r>
            <w:r>
              <w:rPr>
                <w:rFonts w:hint="eastAsia" w:ascii="宋体" w:hAnsi="宋体" w:cs="宋体"/>
                <w:szCs w:val="21"/>
                <w:lang w:val="en-US" w:eastAsia="zh-CN"/>
              </w:rPr>
              <w:t>六氟化硫净化服务</w:t>
            </w:r>
            <w:r>
              <w:rPr>
                <w:rFonts w:hint="eastAsia" w:ascii="宋体" w:hAnsi="宋体" w:eastAsia="宋体" w:cs="宋体"/>
                <w:szCs w:val="21"/>
              </w:rPr>
              <w:t>的防护实施控制：</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公司自体系运行以来，未发生由于防护不当导致</w:t>
            </w:r>
            <w:r>
              <w:rPr>
                <w:rFonts w:hint="eastAsia" w:ascii="宋体" w:hAnsi="宋体" w:cs="宋体"/>
                <w:szCs w:val="21"/>
                <w:lang w:val="en-US" w:eastAsia="zh-CN"/>
              </w:rPr>
              <w:t>六氟化硫净化服务</w:t>
            </w:r>
            <w:r>
              <w:rPr>
                <w:rFonts w:hint="eastAsia" w:ascii="宋体" w:hAnsi="宋体" w:eastAsia="宋体" w:cs="宋体"/>
                <w:szCs w:val="21"/>
              </w:rPr>
              <w:t>质量事故的情况，防护措施能够满足要求。</w:t>
            </w:r>
          </w:p>
          <w:p>
            <w:pPr>
              <w:spacing w:line="360" w:lineRule="auto"/>
              <w:ind w:firstLine="420" w:firstLineChars="200"/>
              <w:rPr>
                <w:rFonts w:hint="default" w:ascii="宋体" w:hAnsi="宋体" w:eastAsia="宋体" w:cs="宋体"/>
                <w:szCs w:val="21"/>
              </w:rPr>
            </w:pPr>
            <w:r>
              <w:rPr>
                <w:rFonts w:hint="eastAsia" w:ascii="宋体" w:hAnsi="宋体" w:eastAsia="宋体" w:cs="宋体"/>
                <w:szCs w:val="21"/>
              </w:rPr>
              <w:t>防护的管理符合标准要求。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现场产品防护能够按照策划的要求实施，满足策划的要求。</w:t>
            </w:r>
            <w:r>
              <w:rPr>
                <w:rFonts w:hint="eastAsia" w:ascii="宋体" w:hAnsi="宋体" w:cs="宋体"/>
                <w:szCs w:val="21"/>
                <w:lang w:val="en-US" w:eastAsia="zh-CN"/>
              </w:rPr>
              <w:t>六氟化硫净化服务</w:t>
            </w:r>
            <w:r>
              <w:rPr>
                <w:rFonts w:hint="eastAsia" w:ascii="宋体" w:hAnsi="宋体" w:eastAsia="宋体" w:cs="宋体"/>
                <w:szCs w:val="21"/>
              </w:rPr>
              <w:t>会继续做好客户</w:t>
            </w:r>
            <w:r>
              <w:rPr>
                <w:rFonts w:hint="eastAsia" w:ascii="宋体" w:hAnsi="宋体" w:eastAsia="宋体" w:cs="宋体"/>
                <w:szCs w:val="21"/>
                <w:lang w:val="en-US" w:eastAsia="zh-CN"/>
              </w:rPr>
              <w:t>反馈</w:t>
            </w:r>
            <w:r>
              <w:rPr>
                <w:rFonts w:hint="eastAsia" w:ascii="宋体" w:hAnsi="宋体" w:eastAsia="宋体" w:cs="宋体"/>
                <w:szCs w:val="21"/>
              </w:rPr>
              <w:t>信息的处置，按照信息沟通程序等做好沟通。</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截止目前没有发生交付后客户投诉的情况。</w:t>
            </w:r>
          </w:p>
          <w:p>
            <w:pPr>
              <w:spacing w:line="360" w:lineRule="auto"/>
              <w:ind w:firstLine="420" w:firstLineChars="200"/>
              <w:rPr>
                <w:rFonts w:ascii="宋体" w:hAnsi="宋体" w:cs="宋体"/>
                <w:szCs w:val="21"/>
              </w:rPr>
            </w:pPr>
            <w:r>
              <w:rPr>
                <w:rFonts w:hint="eastAsia" w:ascii="宋体" w:hAnsi="宋体" w:cs="宋体"/>
                <w:szCs w:val="21"/>
              </w:rPr>
              <w:t>服务完成后，</w:t>
            </w:r>
            <w:r>
              <w:rPr>
                <w:rFonts w:hint="eastAsia" w:ascii="宋体" w:hAnsi="宋体" w:cs="宋体"/>
                <w:szCs w:val="21"/>
                <w:lang w:eastAsia="zh-CN"/>
              </w:rPr>
              <w:t>技术部</w:t>
            </w:r>
            <w:r>
              <w:rPr>
                <w:rFonts w:hint="eastAsia" w:ascii="宋体" w:hAnsi="宋体" w:cs="宋体"/>
                <w:szCs w:val="21"/>
              </w:rPr>
              <w:t>主要做好客户信息的处置，按照信息沟通程序等做好沟通。</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截止目前没有发生交付后客户投诉的情况。</w:t>
            </w:r>
          </w:p>
        </w:tc>
        <w:tc>
          <w:tcPr>
            <w:tcW w:w="732"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3" w:type="dxa"/>
            <w:vAlign w:val="top"/>
          </w:tcPr>
          <w:p>
            <w:pPr>
              <w:spacing w:line="400" w:lineRule="exact"/>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szCs w:val="21"/>
              </w:rPr>
              <w:t>更改控制</w:t>
            </w:r>
          </w:p>
        </w:tc>
        <w:tc>
          <w:tcPr>
            <w:tcW w:w="965" w:type="dxa"/>
            <w:vAlign w:val="top"/>
          </w:tcPr>
          <w:p>
            <w:pPr>
              <w:adjustRightInd w:val="0"/>
              <w:snapToGrid w:val="0"/>
              <w:jc w:val="center"/>
              <w:rPr>
                <w:rFonts w:hint="eastAsia" w:eastAsia="宋体" w:asciiTheme="minorEastAsia" w:hAnsiTheme="minorEastAsia" w:cstheme="minorEastAsia"/>
                <w:kern w:val="2"/>
                <w:sz w:val="21"/>
                <w:szCs w:val="21"/>
                <w:highlight w:val="none"/>
                <w:lang w:val="en-US" w:eastAsia="zh-CN" w:bidi="ar-SA"/>
              </w:rPr>
            </w:pPr>
            <w:r>
              <w:rPr>
                <w:rFonts w:hint="eastAsia" w:ascii="宋体" w:hAnsi="宋体"/>
                <w:szCs w:val="21"/>
                <w:lang w:val="en-US" w:eastAsia="zh-CN"/>
              </w:rPr>
              <w:t>Q</w:t>
            </w:r>
            <w:r>
              <w:rPr>
                <w:rFonts w:hint="eastAsia" w:ascii="宋体" w:hAnsi="宋体"/>
                <w:szCs w:val="21"/>
              </w:rPr>
              <w:t>8.5.6</w:t>
            </w:r>
          </w:p>
        </w:tc>
        <w:tc>
          <w:tcPr>
            <w:tcW w:w="10927"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ascii="宋体" w:hAnsi="宋体"/>
                <w:szCs w:val="21"/>
              </w:rPr>
            </w:pPr>
            <w:r>
              <w:rPr>
                <w:rFonts w:hint="eastAsia" w:ascii="宋体" w:hAnsi="宋体"/>
                <w:szCs w:val="21"/>
              </w:rPr>
              <w:t>查，产品为客户出</w:t>
            </w:r>
            <w:r>
              <w:rPr>
                <w:rFonts w:hint="eastAsia" w:ascii="宋体" w:hAnsi="宋体"/>
                <w:szCs w:val="21"/>
                <w:lang w:val="en-US" w:eastAsia="zh-CN"/>
              </w:rPr>
              <w:t>施工方案设计成果</w:t>
            </w:r>
            <w:r>
              <w:rPr>
                <w:rFonts w:hint="eastAsia" w:ascii="宋体" w:hAnsi="宋体"/>
                <w:szCs w:val="21"/>
              </w:rPr>
              <w:t>，无工艺、材料等更改。</w:t>
            </w:r>
          </w:p>
          <w:p>
            <w:pPr>
              <w:spacing w:line="400" w:lineRule="exact"/>
              <w:ind w:firstLine="420" w:firstLineChars="200"/>
              <w:rPr>
                <w:rFonts w:hint="default" w:asciiTheme="minorEastAsia" w:hAnsiTheme="minorEastAsia" w:eastAsiaTheme="minorEastAsia" w:cstheme="minorEastAsia"/>
                <w:color w:val="auto"/>
                <w:kern w:val="2"/>
                <w:sz w:val="21"/>
                <w:szCs w:val="21"/>
                <w:highlight w:val="red"/>
                <w:lang w:val="en-US" w:eastAsia="zh-CN" w:bidi="ar-SA"/>
              </w:rPr>
            </w:pPr>
            <w:r>
              <w:rPr>
                <w:rFonts w:hint="eastAsia" w:ascii="宋体" w:hAnsi="宋体"/>
                <w:szCs w:val="21"/>
              </w:rPr>
              <w:t>查，近期暂无产品信息变更的情况。</w:t>
            </w:r>
          </w:p>
        </w:tc>
        <w:tc>
          <w:tcPr>
            <w:tcW w:w="732"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73" w:type="dxa"/>
            <w:vAlign w:val="top"/>
          </w:tcPr>
          <w:p>
            <w:pPr>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sz w:val="24"/>
                <w:szCs w:val="24"/>
              </w:rPr>
              <w:t>不合格输出的控制</w:t>
            </w:r>
          </w:p>
        </w:tc>
        <w:tc>
          <w:tcPr>
            <w:tcW w:w="965" w:type="dxa"/>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Q8.7 </w:t>
            </w:r>
          </w:p>
          <w:p>
            <w:pPr>
              <w:spacing w:line="360" w:lineRule="auto"/>
              <w:ind w:left="105" w:leftChars="0"/>
              <w:rPr>
                <w:rFonts w:hint="eastAsia" w:eastAsia="宋体" w:asciiTheme="minorEastAsia" w:hAnsiTheme="minorEastAsia" w:cstheme="minorEastAsia"/>
                <w:color w:val="auto"/>
                <w:kern w:val="2"/>
                <w:sz w:val="21"/>
                <w:szCs w:val="21"/>
                <w:highlight w:val="none"/>
                <w:lang w:val="en-US" w:eastAsia="zh-CN" w:bidi="ar-SA"/>
              </w:rPr>
            </w:pPr>
          </w:p>
        </w:tc>
        <w:tc>
          <w:tcPr>
            <w:tcW w:w="10927" w:type="dxa"/>
            <w:vAlign w:val="top"/>
          </w:tcPr>
          <w:p>
            <w:pPr>
              <w:spacing w:line="360" w:lineRule="auto"/>
              <w:ind w:firstLine="420" w:firstLineChars="200"/>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公司制定并执行了《不合格输出控制程序》，文件对不合格品的识别、控制方法、职责权限作出了具体规定，基本符合标准要求。</w:t>
            </w:r>
          </w:p>
          <w:p>
            <w:pPr>
              <w:spacing w:line="360" w:lineRule="auto"/>
              <w:ind w:firstLine="420" w:firstLineChars="200"/>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六氟化硫净化服务过程中的不合格品即校审、评审、验证、确认各阶段的不符合，通常采用更改的方式进行。经了解，暂无六氟化硫净化服务过程的不合格品发生进行更改。</w:t>
            </w:r>
          </w:p>
          <w:p>
            <w:pPr>
              <w:spacing w:line="360" w:lineRule="auto"/>
              <w:ind w:firstLine="420" w:firstLineChars="200"/>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公司能够使现场不合格品得到有效识别，并防止非预期使用和交付。</w:t>
            </w:r>
          </w:p>
          <w:p>
            <w:pPr>
              <w:spacing w:line="360" w:lineRule="auto"/>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sz w:val="21"/>
                <w:szCs w:val="21"/>
                <w:lang w:eastAsia="zh-TW"/>
              </w:rPr>
              <w:t>产品交付后没有发现不合格的情况，不合格品控制有效。</w:t>
            </w:r>
          </w:p>
        </w:tc>
        <w:tc>
          <w:tcPr>
            <w:tcW w:w="732" w:type="dxa"/>
            <w:vAlign w:val="top"/>
          </w:tcPr>
          <w:p>
            <w:pPr>
              <w:rPr>
                <w:rFonts w:hint="eastAsia" w:ascii="Times New Roman" w:hAnsi="Times New Roman" w:eastAsia="宋体" w:cs="Times New Roman"/>
                <w:kern w:val="2"/>
                <w:sz w:val="21"/>
                <w:lang w:val="en-US" w:eastAsia="zh-CN" w:bidi="ar-SA"/>
              </w:rPr>
            </w:pPr>
          </w:p>
        </w:tc>
      </w:tr>
    </w:tbl>
    <w:p>
      <w:pPr>
        <w:pStyle w:val="12"/>
        <w:rPr>
          <w:rFonts w:hint="eastAsia"/>
        </w:rPr>
      </w:pPr>
    </w:p>
    <w:p>
      <w:pPr>
        <w:rPr>
          <w:rFonts w:hint="eastAsia"/>
        </w:rPr>
      </w:pPr>
      <w:r>
        <w:rPr>
          <w:rFonts w:hint="eastAsia"/>
        </w:rPr>
        <w:t>说明：不符合标注N</w:t>
      </w:r>
    </w:p>
    <w:p>
      <w:pPr>
        <w:rPr>
          <w:rFonts w:hint="eastAsia"/>
        </w:rPr>
      </w:pPr>
      <w:bookmarkStart w:id="0" w:name="_GoBack"/>
      <w:bookmarkEnd w:id="0"/>
    </w:p>
    <w:p>
      <w:pPr>
        <w:pStyle w:val="12"/>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2"/>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1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9" name="文本框 19"/>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JB+ETYAAAACwEAAA8AAAAAAAAAAQAgAAAAIgAAAGRycy9kb3ducmV2&#10;LnhtbFBLAQIUABQAAAAIAIdO4kDTFbzQwwEAAHk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13"/>
      <w:pBdr>
        <w:bottom w:val="none" w:color="auto" w:sz="0" w:space="0"/>
      </w:pBdr>
      <w:spacing w:line="320" w:lineRule="exact"/>
      <w:ind w:firstLine="756" w:firstLineChars="400"/>
      <w:jc w:val="left"/>
    </w:pPr>
    <w:r>
      <w:rPr>
        <w:rStyle w:val="20"/>
        <w:rFonts w:hint="default"/>
        <w:w w:val="90"/>
      </w:rPr>
      <w:t>Beijing International Standard united Certification Co.,Ltd.</w:t>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82C2A6"/>
    <w:multiLevelType w:val="singleLevel"/>
    <w:tmpl w:val="5082C2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80"/>
    <w:rsid w:val="0001713F"/>
    <w:rsid w:val="000259AC"/>
    <w:rsid w:val="000B7900"/>
    <w:rsid w:val="000D6436"/>
    <w:rsid w:val="001032CB"/>
    <w:rsid w:val="001538EB"/>
    <w:rsid w:val="001541DA"/>
    <w:rsid w:val="001A2755"/>
    <w:rsid w:val="001E2BA0"/>
    <w:rsid w:val="00297B6F"/>
    <w:rsid w:val="002D1F1C"/>
    <w:rsid w:val="00376607"/>
    <w:rsid w:val="003852FD"/>
    <w:rsid w:val="00411CE7"/>
    <w:rsid w:val="0044635D"/>
    <w:rsid w:val="00477697"/>
    <w:rsid w:val="004B16A6"/>
    <w:rsid w:val="004E08A4"/>
    <w:rsid w:val="00500C21"/>
    <w:rsid w:val="005E75BA"/>
    <w:rsid w:val="005F58CE"/>
    <w:rsid w:val="006350F0"/>
    <w:rsid w:val="0066443D"/>
    <w:rsid w:val="0068005C"/>
    <w:rsid w:val="006C3B64"/>
    <w:rsid w:val="006E7A70"/>
    <w:rsid w:val="00734419"/>
    <w:rsid w:val="007420C5"/>
    <w:rsid w:val="007536EE"/>
    <w:rsid w:val="007B1A3B"/>
    <w:rsid w:val="007F5845"/>
    <w:rsid w:val="00802252"/>
    <w:rsid w:val="00834B09"/>
    <w:rsid w:val="00893291"/>
    <w:rsid w:val="008E0C8E"/>
    <w:rsid w:val="008E45B6"/>
    <w:rsid w:val="0094266C"/>
    <w:rsid w:val="00954EA8"/>
    <w:rsid w:val="009B7866"/>
    <w:rsid w:val="009C3AF7"/>
    <w:rsid w:val="00A07938"/>
    <w:rsid w:val="00A3276E"/>
    <w:rsid w:val="00AA2D83"/>
    <w:rsid w:val="00AB7281"/>
    <w:rsid w:val="00B01EF6"/>
    <w:rsid w:val="00B325A1"/>
    <w:rsid w:val="00B33B39"/>
    <w:rsid w:val="00BB5BDD"/>
    <w:rsid w:val="00BB6546"/>
    <w:rsid w:val="00BE0E37"/>
    <w:rsid w:val="00BF540D"/>
    <w:rsid w:val="00C23315"/>
    <w:rsid w:val="00C343F0"/>
    <w:rsid w:val="00C45B28"/>
    <w:rsid w:val="00CB6525"/>
    <w:rsid w:val="00D5752A"/>
    <w:rsid w:val="00DD4B80"/>
    <w:rsid w:val="00E113F1"/>
    <w:rsid w:val="00E238F5"/>
    <w:rsid w:val="00E345F7"/>
    <w:rsid w:val="00E412FC"/>
    <w:rsid w:val="00E5540F"/>
    <w:rsid w:val="00EF3EBB"/>
    <w:rsid w:val="00F13AB9"/>
    <w:rsid w:val="00F60F0B"/>
    <w:rsid w:val="00F66D86"/>
    <w:rsid w:val="00F67463"/>
    <w:rsid w:val="00F922A5"/>
    <w:rsid w:val="00FB75CB"/>
    <w:rsid w:val="00FD12F5"/>
    <w:rsid w:val="00FD6519"/>
    <w:rsid w:val="01304109"/>
    <w:rsid w:val="02FD3C5D"/>
    <w:rsid w:val="033412E1"/>
    <w:rsid w:val="03555A65"/>
    <w:rsid w:val="0358271A"/>
    <w:rsid w:val="03705B95"/>
    <w:rsid w:val="03CD76A8"/>
    <w:rsid w:val="04892300"/>
    <w:rsid w:val="049145A4"/>
    <w:rsid w:val="04F3757C"/>
    <w:rsid w:val="05C27E71"/>
    <w:rsid w:val="05F821C1"/>
    <w:rsid w:val="06422F98"/>
    <w:rsid w:val="067C699F"/>
    <w:rsid w:val="06BA30F2"/>
    <w:rsid w:val="06D465EC"/>
    <w:rsid w:val="075710FE"/>
    <w:rsid w:val="079D2EB9"/>
    <w:rsid w:val="07BB1345"/>
    <w:rsid w:val="07C902D0"/>
    <w:rsid w:val="0813265E"/>
    <w:rsid w:val="08555398"/>
    <w:rsid w:val="08CE13B5"/>
    <w:rsid w:val="08DC34E6"/>
    <w:rsid w:val="090E5D15"/>
    <w:rsid w:val="09565C32"/>
    <w:rsid w:val="09662CFB"/>
    <w:rsid w:val="098576D0"/>
    <w:rsid w:val="09A004A0"/>
    <w:rsid w:val="09D66353"/>
    <w:rsid w:val="0B2B1110"/>
    <w:rsid w:val="0BCE51B6"/>
    <w:rsid w:val="0BF742DF"/>
    <w:rsid w:val="0DAD6BC9"/>
    <w:rsid w:val="0DED2B38"/>
    <w:rsid w:val="0DEF2265"/>
    <w:rsid w:val="0E141628"/>
    <w:rsid w:val="0E55344A"/>
    <w:rsid w:val="0E6B3ADE"/>
    <w:rsid w:val="0E773D43"/>
    <w:rsid w:val="0E873F41"/>
    <w:rsid w:val="0EFA2C7C"/>
    <w:rsid w:val="0F3C1D64"/>
    <w:rsid w:val="0F446BB8"/>
    <w:rsid w:val="0FEC4946"/>
    <w:rsid w:val="0FEC77A2"/>
    <w:rsid w:val="10807825"/>
    <w:rsid w:val="1093370C"/>
    <w:rsid w:val="10DC6F9C"/>
    <w:rsid w:val="10FC7069"/>
    <w:rsid w:val="10FE1E26"/>
    <w:rsid w:val="11191B99"/>
    <w:rsid w:val="11284673"/>
    <w:rsid w:val="11486339"/>
    <w:rsid w:val="115D0060"/>
    <w:rsid w:val="1178793D"/>
    <w:rsid w:val="11D96D2F"/>
    <w:rsid w:val="1220104F"/>
    <w:rsid w:val="128064A8"/>
    <w:rsid w:val="12C633EC"/>
    <w:rsid w:val="13484B18"/>
    <w:rsid w:val="13545603"/>
    <w:rsid w:val="13882863"/>
    <w:rsid w:val="13D35327"/>
    <w:rsid w:val="14270D58"/>
    <w:rsid w:val="144C003C"/>
    <w:rsid w:val="145B4749"/>
    <w:rsid w:val="147139DD"/>
    <w:rsid w:val="150C08A1"/>
    <w:rsid w:val="15452B6C"/>
    <w:rsid w:val="15861E85"/>
    <w:rsid w:val="15A57A90"/>
    <w:rsid w:val="15E2796E"/>
    <w:rsid w:val="16A34FB2"/>
    <w:rsid w:val="17261E13"/>
    <w:rsid w:val="174A4389"/>
    <w:rsid w:val="177652EA"/>
    <w:rsid w:val="18263A39"/>
    <w:rsid w:val="18284413"/>
    <w:rsid w:val="18537335"/>
    <w:rsid w:val="199425EB"/>
    <w:rsid w:val="19AE679E"/>
    <w:rsid w:val="1A255D39"/>
    <w:rsid w:val="1A837D2F"/>
    <w:rsid w:val="1B7B258D"/>
    <w:rsid w:val="1B84458B"/>
    <w:rsid w:val="1BB0762D"/>
    <w:rsid w:val="1BF85CDE"/>
    <w:rsid w:val="1C2D4A69"/>
    <w:rsid w:val="1C503D2C"/>
    <w:rsid w:val="1CD4402D"/>
    <w:rsid w:val="1D1E5216"/>
    <w:rsid w:val="1D57493F"/>
    <w:rsid w:val="1D5C6FE6"/>
    <w:rsid w:val="1D67708B"/>
    <w:rsid w:val="1E2406E8"/>
    <w:rsid w:val="1E52424C"/>
    <w:rsid w:val="1EBA7B7A"/>
    <w:rsid w:val="20790B8D"/>
    <w:rsid w:val="20955F13"/>
    <w:rsid w:val="21081BA7"/>
    <w:rsid w:val="218617B3"/>
    <w:rsid w:val="21BB3B30"/>
    <w:rsid w:val="21F54A5D"/>
    <w:rsid w:val="22012740"/>
    <w:rsid w:val="22180E53"/>
    <w:rsid w:val="22237ABD"/>
    <w:rsid w:val="22A163D5"/>
    <w:rsid w:val="22AA599E"/>
    <w:rsid w:val="22AC427D"/>
    <w:rsid w:val="22F45565"/>
    <w:rsid w:val="233D7329"/>
    <w:rsid w:val="23591F63"/>
    <w:rsid w:val="236B2397"/>
    <w:rsid w:val="23D22493"/>
    <w:rsid w:val="23E55F98"/>
    <w:rsid w:val="23F14D1A"/>
    <w:rsid w:val="245B560E"/>
    <w:rsid w:val="249547D7"/>
    <w:rsid w:val="24AD60A7"/>
    <w:rsid w:val="24C52E05"/>
    <w:rsid w:val="24E255E4"/>
    <w:rsid w:val="2540656B"/>
    <w:rsid w:val="25846127"/>
    <w:rsid w:val="25D649BC"/>
    <w:rsid w:val="265550AC"/>
    <w:rsid w:val="26637E3F"/>
    <w:rsid w:val="26935ECE"/>
    <w:rsid w:val="269B487A"/>
    <w:rsid w:val="2707671E"/>
    <w:rsid w:val="276C6377"/>
    <w:rsid w:val="27A80535"/>
    <w:rsid w:val="27D31648"/>
    <w:rsid w:val="280D3DB5"/>
    <w:rsid w:val="286A2476"/>
    <w:rsid w:val="28A905C8"/>
    <w:rsid w:val="28A92EBD"/>
    <w:rsid w:val="28C134B5"/>
    <w:rsid w:val="29143C12"/>
    <w:rsid w:val="292F5FEC"/>
    <w:rsid w:val="293955D3"/>
    <w:rsid w:val="293A4213"/>
    <w:rsid w:val="295A0EA6"/>
    <w:rsid w:val="297656A6"/>
    <w:rsid w:val="29C33C02"/>
    <w:rsid w:val="2A011C4C"/>
    <w:rsid w:val="2A3A3EC1"/>
    <w:rsid w:val="2A635B96"/>
    <w:rsid w:val="2A6B7798"/>
    <w:rsid w:val="2ADB74D7"/>
    <w:rsid w:val="2AF17DC1"/>
    <w:rsid w:val="2B351060"/>
    <w:rsid w:val="2B7B4E18"/>
    <w:rsid w:val="2C3C70E9"/>
    <w:rsid w:val="2C6314AC"/>
    <w:rsid w:val="2C8144CD"/>
    <w:rsid w:val="2CF82669"/>
    <w:rsid w:val="2DA830D9"/>
    <w:rsid w:val="2DB43D9E"/>
    <w:rsid w:val="2DC2405E"/>
    <w:rsid w:val="2E221C49"/>
    <w:rsid w:val="2E9E735A"/>
    <w:rsid w:val="2EB43EF7"/>
    <w:rsid w:val="2F257D41"/>
    <w:rsid w:val="2F3565C7"/>
    <w:rsid w:val="2FC36B68"/>
    <w:rsid w:val="3025663B"/>
    <w:rsid w:val="30310A87"/>
    <w:rsid w:val="30560633"/>
    <w:rsid w:val="30BA5B41"/>
    <w:rsid w:val="30C72393"/>
    <w:rsid w:val="30E36CD9"/>
    <w:rsid w:val="31782699"/>
    <w:rsid w:val="31A310B3"/>
    <w:rsid w:val="31BE13FB"/>
    <w:rsid w:val="32726D33"/>
    <w:rsid w:val="33964A07"/>
    <w:rsid w:val="343247FF"/>
    <w:rsid w:val="348C1708"/>
    <w:rsid w:val="34F506F2"/>
    <w:rsid w:val="35574FF3"/>
    <w:rsid w:val="35726166"/>
    <w:rsid w:val="35B66F18"/>
    <w:rsid w:val="35BA606F"/>
    <w:rsid w:val="35F96CAA"/>
    <w:rsid w:val="360C5856"/>
    <w:rsid w:val="362D58B4"/>
    <w:rsid w:val="36861C2F"/>
    <w:rsid w:val="36A05FA1"/>
    <w:rsid w:val="36E05C97"/>
    <w:rsid w:val="37CF5DE8"/>
    <w:rsid w:val="38674CA1"/>
    <w:rsid w:val="38946726"/>
    <w:rsid w:val="38CF010C"/>
    <w:rsid w:val="38EF6639"/>
    <w:rsid w:val="38FA5B29"/>
    <w:rsid w:val="394A040F"/>
    <w:rsid w:val="39882D60"/>
    <w:rsid w:val="3A0C487C"/>
    <w:rsid w:val="3ABC3105"/>
    <w:rsid w:val="3B5D2A45"/>
    <w:rsid w:val="3B911005"/>
    <w:rsid w:val="3BE57209"/>
    <w:rsid w:val="3C440D19"/>
    <w:rsid w:val="3C504D4B"/>
    <w:rsid w:val="3C526738"/>
    <w:rsid w:val="3C903381"/>
    <w:rsid w:val="3C9E1151"/>
    <w:rsid w:val="3D242292"/>
    <w:rsid w:val="3DE9530E"/>
    <w:rsid w:val="3E256747"/>
    <w:rsid w:val="3E660AD6"/>
    <w:rsid w:val="3EA14DEA"/>
    <w:rsid w:val="3EB403E8"/>
    <w:rsid w:val="3EB52881"/>
    <w:rsid w:val="3EBC460F"/>
    <w:rsid w:val="3F266A30"/>
    <w:rsid w:val="3F6F23DD"/>
    <w:rsid w:val="3FE576F8"/>
    <w:rsid w:val="400C55F1"/>
    <w:rsid w:val="40773153"/>
    <w:rsid w:val="407A23BB"/>
    <w:rsid w:val="414E41D7"/>
    <w:rsid w:val="417829C3"/>
    <w:rsid w:val="41801923"/>
    <w:rsid w:val="418035D9"/>
    <w:rsid w:val="41BB1456"/>
    <w:rsid w:val="41E812B4"/>
    <w:rsid w:val="42282E97"/>
    <w:rsid w:val="42CA4E41"/>
    <w:rsid w:val="42CC38B0"/>
    <w:rsid w:val="42D074F7"/>
    <w:rsid w:val="42FC4513"/>
    <w:rsid w:val="43287980"/>
    <w:rsid w:val="43995A8F"/>
    <w:rsid w:val="43A10E97"/>
    <w:rsid w:val="43BF209B"/>
    <w:rsid w:val="440F1DC4"/>
    <w:rsid w:val="444C3D3F"/>
    <w:rsid w:val="453A481E"/>
    <w:rsid w:val="4580257A"/>
    <w:rsid w:val="458A7495"/>
    <w:rsid w:val="45D72591"/>
    <w:rsid w:val="45F57F6B"/>
    <w:rsid w:val="46561E53"/>
    <w:rsid w:val="46570418"/>
    <w:rsid w:val="46774F5A"/>
    <w:rsid w:val="46B90406"/>
    <w:rsid w:val="46C930AA"/>
    <w:rsid w:val="46E701CA"/>
    <w:rsid w:val="472C5F99"/>
    <w:rsid w:val="4745758C"/>
    <w:rsid w:val="478E2F70"/>
    <w:rsid w:val="47972F66"/>
    <w:rsid w:val="47C17EA2"/>
    <w:rsid w:val="48491F8D"/>
    <w:rsid w:val="48850B8B"/>
    <w:rsid w:val="48F006B7"/>
    <w:rsid w:val="49423413"/>
    <w:rsid w:val="49424B1C"/>
    <w:rsid w:val="4A43488C"/>
    <w:rsid w:val="4A551A01"/>
    <w:rsid w:val="4A7B6415"/>
    <w:rsid w:val="4AFD070E"/>
    <w:rsid w:val="4B493B54"/>
    <w:rsid w:val="4C0F4361"/>
    <w:rsid w:val="4C612065"/>
    <w:rsid w:val="4CC06AA5"/>
    <w:rsid w:val="4CC205DC"/>
    <w:rsid w:val="4CE01DB7"/>
    <w:rsid w:val="4CE16A70"/>
    <w:rsid w:val="4D0737A5"/>
    <w:rsid w:val="4D487502"/>
    <w:rsid w:val="4E9845E6"/>
    <w:rsid w:val="4EB410AB"/>
    <w:rsid w:val="4EF40F32"/>
    <w:rsid w:val="4F0E76AD"/>
    <w:rsid w:val="4F7B4A3A"/>
    <w:rsid w:val="4FAD422B"/>
    <w:rsid w:val="4FD635DB"/>
    <w:rsid w:val="50946380"/>
    <w:rsid w:val="50AD135C"/>
    <w:rsid w:val="50EA1CDA"/>
    <w:rsid w:val="513A16A7"/>
    <w:rsid w:val="515537FE"/>
    <w:rsid w:val="51743E40"/>
    <w:rsid w:val="520244B9"/>
    <w:rsid w:val="52BB077C"/>
    <w:rsid w:val="52BD083D"/>
    <w:rsid w:val="52CD303A"/>
    <w:rsid w:val="52F732A5"/>
    <w:rsid w:val="530B3E0D"/>
    <w:rsid w:val="534F35D0"/>
    <w:rsid w:val="538C3E49"/>
    <w:rsid w:val="53BD42D5"/>
    <w:rsid w:val="544F369E"/>
    <w:rsid w:val="54754936"/>
    <w:rsid w:val="54A01E6D"/>
    <w:rsid w:val="54F00587"/>
    <w:rsid w:val="551C6A7C"/>
    <w:rsid w:val="552503C0"/>
    <w:rsid w:val="554E2044"/>
    <w:rsid w:val="554F297C"/>
    <w:rsid w:val="5563490B"/>
    <w:rsid w:val="558110F3"/>
    <w:rsid w:val="55D54B44"/>
    <w:rsid w:val="56123E84"/>
    <w:rsid w:val="56B2789F"/>
    <w:rsid w:val="56E5086E"/>
    <w:rsid w:val="570F6398"/>
    <w:rsid w:val="57297D57"/>
    <w:rsid w:val="576D7AB2"/>
    <w:rsid w:val="57F072CA"/>
    <w:rsid w:val="581B64FA"/>
    <w:rsid w:val="58831853"/>
    <w:rsid w:val="58D734BB"/>
    <w:rsid w:val="590A2D30"/>
    <w:rsid w:val="59837DDA"/>
    <w:rsid w:val="598840E7"/>
    <w:rsid w:val="59933E41"/>
    <w:rsid w:val="599806C3"/>
    <w:rsid w:val="59C86E83"/>
    <w:rsid w:val="5A264CB6"/>
    <w:rsid w:val="5A7F66C0"/>
    <w:rsid w:val="5AA56731"/>
    <w:rsid w:val="5B566DD5"/>
    <w:rsid w:val="5B5E5B95"/>
    <w:rsid w:val="5B6D261C"/>
    <w:rsid w:val="5BA92E00"/>
    <w:rsid w:val="5BB11B25"/>
    <w:rsid w:val="5BD056AC"/>
    <w:rsid w:val="5BE43EE2"/>
    <w:rsid w:val="5BEA2AB8"/>
    <w:rsid w:val="5C193B9E"/>
    <w:rsid w:val="5C3761DC"/>
    <w:rsid w:val="5C3B260D"/>
    <w:rsid w:val="5D3A06F2"/>
    <w:rsid w:val="5D75156A"/>
    <w:rsid w:val="5DBA6A41"/>
    <w:rsid w:val="5EE17D6C"/>
    <w:rsid w:val="5F03245D"/>
    <w:rsid w:val="5F085F6D"/>
    <w:rsid w:val="5F336DA5"/>
    <w:rsid w:val="5F382F8A"/>
    <w:rsid w:val="5F47341F"/>
    <w:rsid w:val="6008644D"/>
    <w:rsid w:val="60C24E7C"/>
    <w:rsid w:val="60CD5BAF"/>
    <w:rsid w:val="60F57DB5"/>
    <w:rsid w:val="610E3361"/>
    <w:rsid w:val="6133439E"/>
    <w:rsid w:val="617500C1"/>
    <w:rsid w:val="61BE26FF"/>
    <w:rsid w:val="61FE2979"/>
    <w:rsid w:val="6243600E"/>
    <w:rsid w:val="62B44C73"/>
    <w:rsid w:val="62BF5F83"/>
    <w:rsid w:val="63175BC3"/>
    <w:rsid w:val="632378C8"/>
    <w:rsid w:val="6366472B"/>
    <w:rsid w:val="636E339D"/>
    <w:rsid w:val="637C3F6C"/>
    <w:rsid w:val="63896AAB"/>
    <w:rsid w:val="63F7207D"/>
    <w:rsid w:val="6471711F"/>
    <w:rsid w:val="647A2C46"/>
    <w:rsid w:val="64866EAE"/>
    <w:rsid w:val="652546CA"/>
    <w:rsid w:val="655D66DC"/>
    <w:rsid w:val="65793194"/>
    <w:rsid w:val="659A0BDD"/>
    <w:rsid w:val="6649052C"/>
    <w:rsid w:val="665E7B8A"/>
    <w:rsid w:val="66AD5CCF"/>
    <w:rsid w:val="6736736E"/>
    <w:rsid w:val="67EF582E"/>
    <w:rsid w:val="67F977CC"/>
    <w:rsid w:val="68246E0D"/>
    <w:rsid w:val="687D5258"/>
    <w:rsid w:val="688144D0"/>
    <w:rsid w:val="68E15D72"/>
    <w:rsid w:val="697A2F27"/>
    <w:rsid w:val="697F13C6"/>
    <w:rsid w:val="69DF2FA3"/>
    <w:rsid w:val="6A03260D"/>
    <w:rsid w:val="6A793230"/>
    <w:rsid w:val="6AAE248D"/>
    <w:rsid w:val="6AD922B1"/>
    <w:rsid w:val="6B344F15"/>
    <w:rsid w:val="6B39651C"/>
    <w:rsid w:val="6B496264"/>
    <w:rsid w:val="6B59252A"/>
    <w:rsid w:val="6B9B70E9"/>
    <w:rsid w:val="6BEB0C6B"/>
    <w:rsid w:val="6C410583"/>
    <w:rsid w:val="6C5517F8"/>
    <w:rsid w:val="6CDA5CC1"/>
    <w:rsid w:val="6D3946F3"/>
    <w:rsid w:val="6D517C23"/>
    <w:rsid w:val="6E66064D"/>
    <w:rsid w:val="6E973995"/>
    <w:rsid w:val="6EF073AE"/>
    <w:rsid w:val="6F5C5F71"/>
    <w:rsid w:val="6FD13025"/>
    <w:rsid w:val="70646E95"/>
    <w:rsid w:val="709F213C"/>
    <w:rsid w:val="711018A1"/>
    <w:rsid w:val="712C203B"/>
    <w:rsid w:val="713C1464"/>
    <w:rsid w:val="71593975"/>
    <w:rsid w:val="715C7359"/>
    <w:rsid w:val="7165529B"/>
    <w:rsid w:val="717A1220"/>
    <w:rsid w:val="71E10BA9"/>
    <w:rsid w:val="725C175D"/>
    <w:rsid w:val="727C16FF"/>
    <w:rsid w:val="72BB440D"/>
    <w:rsid w:val="72C161C4"/>
    <w:rsid w:val="72F17470"/>
    <w:rsid w:val="738E3EC2"/>
    <w:rsid w:val="73BD4784"/>
    <w:rsid w:val="741B7E99"/>
    <w:rsid w:val="749A13DF"/>
    <w:rsid w:val="74D96F99"/>
    <w:rsid w:val="755B0C90"/>
    <w:rsid w:val="75723FC1"/>
    <w:rsid w:val="75B31D86"/>
    <w:rsid w:val="761F1329"/>
    <w:rsid w:val="762B5068"/>
    <w:rsid w:val="764C0FDD"/>
    <w:rsid w:val="768B1820"/>
    <w:rsid w:val="76986104"/>
    <w:rsid w:val="77096523"/>
    <w:rsid w:val="773639AE"/>
    <w:rsid w:val="77810AA3"/>
    <w:rsid w:val="77CB5783"/>
    <w:rsid w:val="77E7719B"/>
    <w:rsid w:val="78123771"/>
    <w:rsid w:val="784F5A1A"/>
    <w:rsid w:val="78795B26"/>
    <w:rsid w:val="796214DF"/>
    <w:rsid w:val="79666F56"/>
    <w:rsid w:val="79717A20"/>
    <w:rsid w:val="79A448B7"/>
    <w:rsid w:val="79F0261A"/>
    <w:rsid w:val="7B047F98"/>
    <w:rsid w:val="7B0D51FF"/>
    <w:rsid w:val="7B3A4A90"/>
    <w:rsid w:val="7B45491C"/>
    <w:rsid w:val="7BA7005A"/>
    <w:rsid w:val="7BE8632B"/>
    <w:rsid w:val="7C0C6300"/>
    <w:rsid w:val="7C3F7DA6"/>
    <w:rsid w:val="7C592391"/>
    <w:rsid w:val="7C621C44"/>
    <w:rsid w:val="7C8479B1"/>
    <w:rsid w:val="7D2D4FAC"/>
    <w:rsid w:val="7DF43AFE"/>
    <w:rsid w:val="7DF753B5"/>
    <w:rsid w:val="7E355215"/>
    <w:rsid w:val="7E9A65DB"/>
    <w:rsid w:val="7EE31489"/>
    <w:rsid w:val="7EEB3EAF"/>
    <w:rsid w:val="7EFF0116"/>
    <w:rsid w:val="7F333E41"/>
    <w:rsid w:val="7FFB74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2"/>
    <w:basedOn w:val="1"/>
    <w:next w:val="7"/>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line="420" w:lineRule="exact"/>
    </w:pPr>
    <w:rPr>
      <w:sz w:val="24"/>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Normal Indent"/>
    <w:basedOn w:val="1"/>
    <w:qFormat/>
    <w:uiPriority w:val="0"/>
    <w:pPr>
      <w:adjustRightInd w:val="0"/>
      <w:spacing w:line="360" w:lineRule="atLeast"/>
      <w:ind w:left="480"/>
      <w:textAlignment w:val="baseline"/>
    </w:pPr>
    <w:rPr>
      <w:kern w:val="0"/>
    </w:rPr>
  </w:style>
  <w:style w:type="paragraph" w:styleId="8">
    <w:name w:val="Body Text Indent"/>
    <w:basedOn w:val="1"/>
    <w:next w:val="9"/>
    <w:link w:val="23"/>
    <w:qFormat/>
    <w:uiPriority w:val="0"/>
    <w:pPr>
      <w:ind w:left="360"/>
    </w:pPr>
    <w:rPr>
      <w:rFonts w:ascii="宋体"/>
      <w:sz w:val="20"/>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cs="Courier New"/>
      <w:szCs w:val="21"/>
    </w:rPr>
  </w:style>
  <w:style w:type="paragraph" w:styleId="11">
    <w:name w:val="Balloon Text"/>
    <w:basedOn w:val="1"/>
    <w:link w:val="19"/>
    <w:semiHidden/>
    <w:unhideWhenUsed/>
    <w:qFormat/>
    <w:uiPriority w:val="99"/>
    <w:rPr>
      <w:sz w:val="18"/>
      <w:szCs w:val="18"/>
    </w:rPr>
  </w:style>
  <w:style w:type="paragraph" w:styleId="12">
    <w:name w:val="footer"/>
    <w:basedOn w:val="1"/>
    <w:link w:val="18"/>
    <w:unhideWhenUsed/>
    <w:qFormat/>
    <w:uiPriority w:val="99"/>
    <w:pPr>
      <w:tabs>
        <w:tab w:val="center" w:pos="4153"/>
        <w:tab w:val="right" w:pos="8306"/>
      </w:tabs>
      <w:snapToGrid w:val="0"/>
      <w:jc w:val="left"/>
    </w:pPr>
    <w:rPr>
      <w:sz w:val="18"/>
      <w:szCs w:val="18"/>
    </w:rPr>
  </w:style>
  <w:style w:type="paragraph" w:styleId="13">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First Indent 2"/>
    <w:basedOn w:val="8"/>
    <w:qFormat/>
    <w:uiPriority w:val="0"/>
    <w:pPr>
      <w:ind w:left="420" w:firstLine="420" w:firstLineChars="200"/>
    </w:pPr>
  </w:style>
  <w:style w:type="character" w:customStyle="1" w:styleId="17">
    <w:name w:val="页眉 字符"/>
    <w:basedOn w:val="16"/>
    <w:link w:val="13"/>
    <w:qFormat/>
    <w:uiPriority w:val="99"/>
    <w:rPr>
      <w:rFonts w:ascii="Times New Roman" w:hAnsi="Times New Roman" w:eastAsia="宋体" w:cs="Times New Roman"/>
      <w:sz w:val="18"/>
      <w:szCs w:val="18"/>
    </w:rPr>
  </w:style>
  <w:style w:type="character" w:customStyle="1" w:styleId="18">
    <w:name w:val="页脚 字符"/>
    <w:basedOn w:val="16"/>
    <w:link w:val="12"/>
    <w:qFormat/>
    <w:uiPriority w:val="99"/>
    <w:rPr>
      <w:rFonts w:ascii="Times New Roman" w:hAnsi="Times New Roman" w:eastAsia="宋体" w:cs="Times New Roman"/>
      <w:sz w:val="18"/>
      <w:szCs w:val="18"/>
    </w:rPr>
  </w:style>
  <w:style w:type="character" w:customStyle="1" w:styleId="19">
    <w:name w:val="批注框文本 字符"/>
    <w:basedOn w:val="16"/>
    <w:link w:val="11"/>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_Style 2"/>
    <w:basedOn w:val="1"/>
    <w:qFormat/>
    <w:uiPriority w:val="34"/>
    <w:pPr>
      <w:ind w:firstLine="420" w:firstLineChars="200"/>
    </w:pPr>
    <w:rPr>
      <w:rFonts w:ascii="Calibri" w:hAnsi="Calibri"/>
      <w:sz w:val="24"/>
      <w:szCs w:val="22"/>
    </w:rPr>
  </w:style>
  <w:style w:type="paragraph" w:customStyle="1" w:styleId="22">
    <w:name w:val="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3">
    <w:name w:val="正文文本缩进 字符"/>
    <w:basedOn w:val="16"/>
    <w:link w:val="8"/>
    <w:qFormat/>
    <w:uiPriority w:val="0"/>
    <w:rPr>
      <w:rFonts w:ascii="宋体" w:hAnsi="Times New Roman" w:eastAsia="宋体" w:cs="Times New Roman"/>
      <w:kern w:val="2"/>
    </w:rPr>
  </w:style>
  <w:style w:type="paragraph" w:styleId="24">
    <w:name w:val="List Paragraph"/>
    <w:basedOn w:val="1"/>
    <w:qFormat/>
    <w:uiPriority w:val="99"/>
    <w:pPr>
      <w:ind w:firstLine="420" w:firstLineChars="200"/>
    </w:pPr>
  </w:style>
  <w:style w:type="paragraph" w:customStyle="1" w:styleId="25">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721</Words>
  <Characters>4111</Characters>
  <Lines>34</Lines>
  <Paragraphs>9</Paragraphs>
  <TotalTime>0</TotalTime>
  <ScaleCrop>false</ScaleCrop>
  <LinksUpToDate>false</LinksUpToDate>
  <CharactersWithSpaces>4823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2020-10-03T03:40:00Z</dcterms:created>
  <dc:creator>微软用户</dc:creator>
  <cp:lastModifiedBy>强子</cp:lastModifiedBy>
  <dcterms:modified xsi:type="dcterms:W3CDTF">2022-03-19T09:26:24Z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AC546F5A4D844393982545E68BB84291</vt:lpwstr>
  </property>
</Properties>
</file>