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陕西亚强电气设备有限公司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39.04.00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李博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39.04.00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技术人员参加入网考核-合格后获得进站资格（工作证）-由队长统一安排进入变电站（严格遵守变电站安全规程）-准备前期工作（接地线、确认设备状态）-连接绝缘室与净化车-开机实施回收、提纯、净化-存储净化后气体（等待甲方保养绝缘室）-六氟化硫打入绝缘室-第三方检测-交付甲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回收、提纯、净化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六氟化硫气体回收装置技术条件 第1部分：六氟化硫气体回收装置DL/T 662.1-2021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六氟化硫电气设备运行、试验及检修人员安全防护导则DL/T 639-2016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六氟化硫处理系统技术规范DL/T 1353-2014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电力设备用六氟化硫气体DL/T 1366-2014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六氟化硫气体净化处理工作规程DL/T 1553-2016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电气设备用六氟化硫气体回收、再生及再利用技术规范DL/T 1993-2019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GB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电力安全工作规程 发电厂和变电站电气部分GB 26860-2011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电力安全设施配置技术规范 第1部分：变电站GB/T 36291.1-2018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压力、时间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等</w:t>
            </w:r>
            <w:r>
              <w:rPr>
                <w:rFonts w:hint="eastAsia"/>
                <w:b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b/>
                <w:sz w:val="20"/>
                <w:lang w:val="en-US" w:eastAsia="zh-CN"/>
              </w:rPr>
              <w:t>2022.3.16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br w:type="page"/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陕西亚强电气设备有限公司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39.04.00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李博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39.04.00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技术人员参加入网考核-合格后获得进站资格（工作证）-由队长统一安排进入变电站（严格遵守变电站安全规程）-准备前期工作（接地线、确认设备状态）-连接绝缘室与净化车-开机实施回收、提纯、净化-存储净化后气体（等待甲方保养绝缘室）-六氟化硫打入绝缘室-第三方检测-交付甲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资源能源消耗、噪音排放、潜在火灾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、共和国环境影响评价法、中华人民共和国水污染防治法、中华人民共和国大气污染防治法、中华人民共和国环境噪声污染防治法、中华人民共和国固体废物污染环境防治法、中华人民共和国消防法、GB8978-1996污水综合排放标准、GB16297-1996大气污染物综合排放标准、工业企业厂界环境噪声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噪音、</w:t>
            </w:r>
            <w:r>
              <w:rPr>
                <w:rFonts w:hint="eastAsia"/>
                <w:b/>
                <w:sz w:val="20"/>
                <w:lang w:val="en-US" w:eastAsia="zh-CN"/>
              </w:rPr>
              <w:t>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陕西亚强电气设备有限公司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39.04.00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李博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39.04.00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技术人员参加入网考核-合格后获得进站资格（工作证）-由队长统一安排进入变电站（严格遵守变电站安全规程）-准备前期工作（接地线、确认设备状态）-连接绝缘室与净化车-开机实施回收、提纯、净化-存储净化后气体（等待甲方保养绝缘室）-六氟化硫打入绝缘室-第三方检测-交付甲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</w:rPr>
              <w:t>触电、潜在火灾、机械伤害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安全生产法、中华人民共和国特种设备安全法、中华人民共和国劳动法、中华人民共和国消防法、中华人民共和国妇女权益保障法、电气安全管理规程、女职工劳动保护特别规定、特种设备安全检察条例、火灾事故调查规定、消防监督检查规定、工伤保险条例、</w:t>
            </w:r>
            <w:r>
              <w:rPr>
                <w:rFonts w:hint="eastAsia" w:eastAsia="宋体"/>
                <w:b/>
                <w:sz w:val="20"/>
                <w:lang w:val="en-GB"/>
              </w:rPr>
              <w:t>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rPr>
          <w:rFonts w:hint="eastAsia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F681474"/>
    <w:rsid w:val="32C31B54"/>
    <w:rsid w:val="3361703D"/>
    <w:rsid w:val="444426DE"/>
    <w:rsid w:val="661816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强子</cp:lastModifiedBy>
  <dcterms:modified xsi:type="dcterms:W3CDTF">2022-03-15T03:20:52Z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