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湖州南浔新世强木业有限公司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王献华 </w:t>
            </w:r>
            <w:r>
              <w:rPr>
                <w:rFonts w:hint="eastAsia"/>
                <w:color w:val="000000"/>
                <w:sz w:val="24"/>
                <w:szCs w:val="24"/>
              </w:rPr>
              <w:t>方继欣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2022年07月18日 下午至2022年07月19日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91330503575349457Q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2031年5月30日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实木地板、复合地板、强化地板、胶合板、装饰板、木门及其他木制品的制造、加工、销售，木线条、小五金、木材的销售，货物及技术进出口。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Q：实木复合地板加工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E：实木复合地板加工所涉及场所的相关环境管理活动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none"/>
              </w:rPr>
              <w:t>：；</w:t>
            </w:r>
            <w:r>
              <w:rPr>
                <w:rFonts w:hint="eastAsia"/>
                <w:color w:val="000000"/>
                <w:szCs w:val="21"/>
              </w:rPr>
              <w:t xml:space="preserve">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b/>
                <w:bCs/>
                <w:sz w:val="21"/>
                <w:szCs w:val="21"/>
              </w:rPr>
              <w:t>浙江省湖州市南浔经济开发区综园路9号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b/>
                <w:bCs/>
                <w:sz w:val="21"/>
                <w:szCs w:val="21"/>
              </w:rPr>
              <w:t>浙江省湖州市南浔经济开发区综园路9号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开槽→砂光→封边→砂光→淋涂底漆→光固化→砂光→淋涂面漆→光固化→砂光→质检包装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color w:val="auto"/>
                <w:szCs w:val="21"/>
              </w:rPr>
              <w:t>8:00- 12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 xml:space="preserve">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0- 1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color w:val="auto"/>
                <w:szCs w:val="21"/>
              </w:rPr>
              <w:t xml:space="preserve">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EMS  □OHSMS  □FSMSMS  □HACCP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4"/>
              <w:gridCol w:w="1100"/>
              <w:gridCol w:w="334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产品一次验收合格率≥90%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合格数/总数×100%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顾客满意率≥95%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满意分数/总分数×100%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固废按规定分类处置率100%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废气、噪声达标排放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实时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定期监测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火灾发生率为0</w:t>
                  </w:r>
                </w:p>
              </w:tc>
              <w:tc>
                <w:tcPr>
                  <w:tcW w:w="110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实时</w:t>
                  </w:r>
                </w:p>
              </w:tc>
              <w:tc>
                <w:tcPr>
                  <w:tcW w:w="334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53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-3日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组织提供的产品按照法律法规要求和顾客要求提供。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光固化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相关控制参数名称：</w:t>
            </w: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附着力；2.硬度≥1H；3.磨耗率；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光固化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湖州市检验检测中心/浙江省木业产品质量检验中心；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2021W011678；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2021.10.29</w:t>
            </w:r>
            <w:bookmarkStart w:id="5" w:name="_GoBack"/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LG/T 1859-2020《仿古木质地板》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FF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</w:t>
            </w:r>
            <w:r>
              <w:rPr>
                <w:rFonts w:hint="eastAsia"/>
                <w:color w:val="auto"/>
              </w:rPr>
              <w:t>明</w:t>
            </w:r>
            <w:r>
              <w:rPr>
                <w:rFonts w:hint="eastAsia"/>
                <w:color w:val="auto"/>
                <w:u w:val="single"/>
                <w:lang w:eastAsia="zh-CN"/>
              </w:rPr>
              <w:t>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顾客满意度调查结果 97%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双端铣、砂光机、封边机、UV淋漆线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non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u w:val="none"/>
              </w:rPr>
            </w:pPr>
            <w:r>
              <w:rPr>
                <w:rFonts w:hint="eastAsia"/>
                <w:color w:val="000000"/>
              </w:rPr>
              <w:t>观察质量相关的</w:t>
            </w:r>
            <w:r>
              <w:rPr>
                <w:rFonts w:hint="eastAsia"/>
                <w:color w:val="auto"/>
              </w:rPr>
              <w:t>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带表卡尺、木材测试仪、漆膜磨耗仪等</w:t>
            </w:r>
            <w:r>
              <w:rPr>
                <w:rFonts w:hint="eastAsia"/>
                <w:color w:val="auto"/>
                <w:u w:val="non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val="en-US" w:eastAsia="zh-CN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见校准的证据，二阶段核实确认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</w:t>
            </w:r>
            <w:r>
              <w:rPr>
                <w:rFonts w:hint="eastAsia"/>
                <w:color w:val="auto"/>
              </w:rPr>
              <w:t>特种设备的</w:t>
            </w:r>
            <w:r>
              <w:rPr>
                <w:rFonts w:hint="eastAsia"/>
                <w:color w:val="000000"/>
              </w:rPr>
              <w:t>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50万m</w:t>
            </w:r>
            <w:r>
              <w:rPr>
                <w:rFonts w:hint="eastAsia"/>
                <w:color w:val="auto"/>
                <w:sz w:val="21"/>
                <w:szCs w:val="18"/>
                <w:u w:val="single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color w:val="auto"/>
                <w:szCs w:val="18"/>
              </w:rPr>
              <w:t>排污许可证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浙浔开发区准排字第2019-211号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固定污染源排污登记回执编号：91330503575349457Q001W：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2024年11月1日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检02202104238</w:t>
            </w:r>
            <w:r>
              <w:rPr>
                <w:rFonts w:hint="eastAsia"/>
                <w:color w:val="000000"/>
                <w:szCs w:val="18"/>
                <w:u w:val="single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检02202104239</w:t>
            </w:r>
            <w:r>
              <w:rPr>
                <w:rFonts w:hint="eastAsia"/>
                <w:color w:val="000000"/>
                <w:szCs w:val="18"/>
                <w:u w:val="single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>了解危险化学品的种类——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150kg无水酒精；UV漆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lang w:val="en-US" w:eastAsia="zh-CN"/>
              </w:rPr>
              <w:t>2021.10.20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0D4C9B"/>
    <w:rsid w:val="0071156C"/>
    <w:rsid w:val="00FD0AC0"/>
    <w:rsid w:val="034040FB"/>
    <w:rsid w:val="03E84246"/>
    <w:rsid w:val="058C68D2"/>
    <w:rsid w:val="05E5301D"/>
    <w:rsid w:val="06911C3B"/>
    <w:rsid w:val="092218E5"/>
    <w:rsid w:val="0C4F5318"/>
    <w:rsid w:val="0F721345"/>
    <w:rsid w:val="10121EA1"/>
    <w:rsid w:val="11DD4FCB"/>
    <w:rsid w:val="135F595B"/>
    <w:rsid w:val="181C21FB"/>
    <w:rsid w:val="186624B9"/>
    <w:rsid w:val="1B446EB7"/>
    <w:rsid w:val="1C97602F"/>
    <w:rsid w:val="1E9E3829"/>
    <w:rsid w:val="1EE41903"/>
    <w:rsid w:val="20F931DB"/>
    <w:rsid w:val="248E7ED1"/>
    <w:rsid w:val="25B02780"/>
    <w:rsid w:val="25DA6E18"/>
    <w:rsid w:val="270F4EA3"/>
    <w:rsid w:val="27B0369C"/>
    <w:rsid w:val="27EC4713"/>
    <w:rsid w:val="28A23637"/>
    <w:rsid w:val="29FB7D81"/>
    <w:rsid w:val="2E3A77E9"/>
    <w:rsid w:val="312D7DEA"/>
    <w:rsid w:val="32CE61B4"/>
    <w:rsid w:val="33235DEF"/>
    <w:rsid w:val="339C31B8"/>
    <w:rsid w:val="33FB0813"/>
    <w:rsid w:val="353E4EFA"/>
    <w:rsid w:val="359166D4"/>
    <w:rsid w:val="38851021"/>
    <w:rsid w:val="389D14F6"/>
    <w:rsid w:val="3ACA5311"/>
    <w:rsid w:val="3C51094F"/>
    <w:rsid w:val="3E9D4F4E"/>
    <w:rsid w:val="42156E34"/>
    <w:rsid w:val="44692FAB"/>
    <w:rsid w:val="465F5842"/>
    <w:rsid w:val="477A1A32"/>
    <w:rsid w:val="4BE233FC"/>
    <w:rsid w:val="4DF4699A"/>
    <w:rsid w:val="4E4830E5"/>
    <w:rsid w:val="574337FE"/>
    <w:rsid w:val="57AF6B02"/>
    <w:rsid w:val="59D40052"/>
    <w:rsid w:val="5C427AD9"/>
    <w:rsid w:val="5DE909E1"/>
    <w:rsid w:val="5EBC59BB"/>
    <w:rsid w:val="67494A8C"/>
    <w:rsid w:val="68820FC4"/>
    <w:rsid w:val="6D485F0B"/>
    <w:rsid w:val="712F735D"/>
    <w:rsid w:val="73785321"/>
    <w:rsid w:val="7AEC7DAC"/>
    <w:rsid w:val="7DF9399C"/>
    <w:rsid w:val="7E735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2022-08-03T04:08:49Z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