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单相费控智能电能表初始固有误差</w:t>
      </w:r>
      <w:r>
        <w:rPr>
          <w:b/>
          <w:bCs/>
          <w:sz w:val="30"/>
          <w:szCs w:val="30"/>
        </w:rPr>
        <w:t>测量过程</w:t>
      </w:r>
    </w:p>
    <w:p>
      <w:pPr>
        <w:pStyle w:val="2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不确定度评定报告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b/>
          <w:sz w:val="24"/>
        </w:rPr>
        <w:t>测量过程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Cs/>
          <w:sz w:val="24"/>
        </w:rPr>
        <w:t>1.1</w:t>
      </w:r>
      <w:r>
        <w:rPr>
          <w:sz w:val="24"/>
        </w:rPr>
        <w:t>、</w:t>
      </w:r>
      <w:r>
        <w:rPr>
          <w:sz w:val="24"/>
          <w:szCs w:val="24"/>
        </w:rPr>
        <w:t>测量方法：</w:t>
      </w:r>
      <w:r>
        <w:rPr>
          <w:rFonts w:hint="eastAsia"/>
          <w:bCs/>
          <w:sz w:val="24"/>
          <w:szCs w:val="24"/>
        </w:rPr>
        <w:t>JJG 596-2012《电子式交流电能表检定规程</w:t>
      </w:r>
      <w:r>
        <w:rPr>
          <w:rFonts w:hint="eastAsia"/>
          <w:sz w:val="24"/>
          <w:szCs w:val="24"/>
        </w:rPr>
        <w:t>》。</w:t>
      </w:r>
    </w:p>
    <w:p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1.2、环境条件：</w:t>
      </w:r>
      <w:r>
        <w:rPr>
          <w:rFonts w:hint="eastAsia" w:ascii="宋体" w:hAnsi="宋体" w:cs="宋体"/>
          <w:sz w:val="24"/>
        </w:rPr>
        <w:t>温度23±2℃；湿度≤85%</w:t>
      </w:r>
      <w:r>
        <w:rPr>
          <w:color w:val="000000" w:themeColor="text1"/>
          <w:sz w:val="24"/>
        </w:rPr>
        <w:t>。</w:t>
      </w:r>
    </w:p>
    <w:p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1.3、检测设备：</w:t>
      </w:r>
      <w:r>
        <w:rPr>
          <w:rFonts w:hint="eastAsia"/>
          <w:sz w:val="24"/>
        </w:rPr>
        <w:t>单相电能表检定装置</w:t>
      </w:r>
      <w:r>
        <w:rPr>
          <w:sz w:val="24"/>
        </w:rPr>
        <w:t>，</w:t>
      </w:r>
      <w:r>
        <w:rPr>
          <w:rFonts w:hint="eastAsia"/>
          <w:sz w:val="24"/>
        </w:rPr>
        <w:t>准确度等级0.1级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最大允许误差</w:t>
      </w:r>
      <w:r>
        <w:rPr>
          <w:rFonts w:hint="eastAsia" w:ascii="宋体" w:hAnsi="宋体" w:eastAsia="宋体" w:cs="宋体"/>
          <w:sz w:val="24"/>
          <w:lang w:val="en-US" w:eastAsia="zh-CN"/>
        </w:rPr>
        <w:t>±</w:t>
      </w:r>
      <w:r>
        <w:rPr>
          <w:rFonts w:hint="eastAsia"/>
          <w:sz w:val="24"/>
          <w:lang w:val="en-US" w:eastAsia="zh-CN"/>
        </w:rPr>
        <w:t>0.1%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1.4、被测对象：</w:t>
      </w:r>
      <w:r>
        <w:rPr>
          <w:rFonts w:hint="eastAsia"/>
          <w:sz w:val="24"/>
        </w:rPr>
        <w:t>单相费控智能电能表初始固有误差</w:t>
      </w:r>
      <w:r>
        <w:rPr>
          <w:sz w:val="24"/>
        </w:rPr>
        <w:t>±</w:t>
      </w:r>
      <w:r>
        <w:rPr>
          <w:rFonts w:hint="eastAsia"/>
          <w:sz w:val="24"/>
        </w:rPr>
        <w:t>0.3%</w:t>
      </w:r>
      <w:r>
        <w:rPr>
          <w:color w:val="000000" w:themeColor="text1"/>
          <w:kern w:val="0"/>
          <w:sz w:val="24"/>
        </w:rPr>
        <w:t>。</w:t>
      </w:r>
    </w:p>
    <w:p>
      <w:pPr>
        <w:pStyle w:val="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1.5、测量过程：</w:t>
      </w:r>
      <w:r>
        <w:rPr>
          <w:rFonts w:hint="eastAsia" w:ascii="Times New Roman" w:hAnsi="Times New Roman"/>
          <w:sz w:val="24"/>
        </w:rPr>
        <w:t>单相电能表检定装置</w:t>
      </w:r>
      <w:r>
        <w:rPr>
          <w:sz w:val="24"/>
        </w:rPr>
        <w:t>输出一定功率给被检</w:t>
      </w:r>
      <w:r>
        <w:rPr>
          <w:rFonts w:hint="eastAsia"/>
          <w:sz w:val="24"/>
        </w:rPr>
        <w:t>电能表</w:t>
      </w:r>
      <w:r>
        <w:rPr>
          <w:sz w:val="24"/>
        </w:rPr>
        <w:t>，并对被检</w:t>
      </w:r>
      <w:r>
        <w:rPr>
          <w:rFonts w:hint="eastAsia"/>
          <w:sz w:val="24"/>
        </w:rPr>
        <w:t>电能表</w:t>
      </w:r>
      <w:r>
        <w:rPr>
          <w:sz w:val="24"/>
        </w:rPr>
        <w:t>进行采样积分，得到的电能值与</w:t>
      </w:r>
      <w:r>
        <w:rPr>
          <w:rFonts w:hint="eastAsia" w:ascii="Times New Roman" w:hAnsi="Times New Roman"/>
          <w:sz w:val="24"/>
        </w:rPr>
        <w:t>检定</w:t>
      </w:r>
      <w:r>
        <w:rPr>
          <w:sz w:val="24"/>
        </w:rPr>
        <w:t>装置输出的标准电能值比较，得到被检表在该功率时的相对误差</w:t>
      </w:r>
      <w:r>
        <w:rPr>
          <w:rFonts w:ascii="Times New Roman" w:hAnsi="Times New Roman"/>
          <w:sz w:val="24"/>
        </w:rPr>
        <w:t>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</w:p>
    <w:p>
      <w:pPr>
        <w:autoSpaceDE w:val="0"/>
        <w:autoSpaceDN w:val="0"/>
        <w:spacing w:line="360" w:lineRule="auto"/>
        <w:ind w:firstLine="1320" w:firstLineChars="550"/>
        <w:rPr>
          <w:sz w:val="24"/>
        </w:rPr>
      </w:pPr>
      <m:oMathPara>
        <m:oMath>
          <m:r>
            <m:rPr/>
            <w:rPr>
              <w:rFonts w:ascii="Cambria Math" w:hAnsi="Cambria Math"/>
              <w:position w:val="-4"/>
              <w:sz w:val="24"/>
            </w:rPr>
            <m:t>ΔL=L</m:t>
          </m:r>
        </m:oMath>
      </m:oMathPara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式中：</w:t>
      </w:r>
      <m:oMath>
        <m:r>
          <m:rPr/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---被测</w:t>
      </w:r>
      <w:r>
        <w:rPr>
          <w:rFonts w:hint="eastAsia"/>
          <w:sz w:val="24"/>
        </w:rPr>
        <w:t>电能表</w:t>
      </w:r>
      <w:r>
        <w:rPr>
          <w:sz w:val="24"/>
        </w:rPr>
        <w:t>的</w:t>
      </w:r>
      <w:r>
        <w:rPr>
          <w:rFonts w:hint="eastAsia"/>
          <w:sz w:val="24"/>
        </w:rPr>
        <w:t>初始固有误差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1440" w:firstLineChars="600"/>
        <w:jc w:val="left"/>
        <w:rPr>
          <w:sz w:val="24"/>
        </w:rPr>
      </w:pPr>
      <w:r>
        <w:rPr>
          <w:sz w:val="24"/>
        </w:rPr>
        <w:t>--</w:t>
      </w:r>
      <w:r>
        <w:rPr>
          <w:rFonts w:hint="eastAsia"/>
          <w:sz w:val="24"/>
        </w:rPr>
        <w:t>--用单相电能表检定装置测得的初始固有误差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616" w:firstLineChars="257"/>
        <w:rPr>
          <w:sz w:val="24"/>
        </w:rPr>
      </w:pPr>
      <w:r>
        <w:rPr>
          <w:sz w:val="24"/>
        </w:rPr>
        <w:t>输入量的不确定度来源于：</w:t>
      </w:r>
    </w:p>
    <w:p>
      <w:pPr>
        <w:spacing w:line="360" w:lineRule="auto"/>
        <w:ind w:firstLine="720" w:firstLineChars="300"/>
        <w:rPr>
          <w:b/>
          <w:bCs/>
          <w:sz w:val="24"/>
        </w:rPr>
      </w:pPr>
      <w:r>
        <w:rPr>
          <w:sz w:val="24"/>
        </w:rPr>
        <w:t>a)测量重复性引入的标准不确定度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</w:p>
    <w:p>
      <w:pPr>
        <w:spacing w:line="360" w:lineRule="auto"/>
        <w:ind w:firstLine="720" w:firstLineChars="300"/>
        <w:rPr>
          <w:rFonts w:hint="eastAsia" w:eastAsia="宋体"/>
          <w:bCs/>
          <w:sz w:val="24"/>
          <w:lang w:eastAsia="zh-CN"/>
        </w:rPr>
      </w:pPr>
      <w:r>
        <w:rPr>
          <w:bCs/>
          <w:sz w:val="24"/>
        </w:rPr>
        <w:t>b)测量设备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 w:hAnsi="Cambria Math"/>
          <w:i w:val="0"/>
          <w:sz w:val="24"/>
          <w:lang w:eastAsia="zh-CN"/>
        </w:rPr>
        <w:t>；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输入量测量重复性不确定度进行A类评定测量：在</w:t>
      </w:r>
      <w:r>
        <w:rPr>
          <w:rFonts w:hint="eastAsia"/>
          <w:sz w:val="24"/>
        </w:rPr>
        <w:t>单相电能表检定装置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台单相电能表检定装置</w:t>
      </w:r>
      <w:r>
        <w:rPr>
          <w:sz w:val="24"/>
        </w:rPr>
        <w:t>，，</w:t>
      </w:r>
      <w:r>
        <w:rPr>
          <w:rFonts w:hint="eastAsia"/>
          <w:sz w:val="24"/>
        </w:rPr>
        <w:t>在cos</w:t>
      </w:r>
      <w:r>
        <w:rPr>
          <w:sz w:val="24"/>
        </w:rPr>
        <w:t>φ</w:t>
      </w:r>
      <w:r>
        <w:rPr>
          <w:rFonts w:hint="eastAsia"/>
          <w:sz w:val="24"/>
        </w:rPr>
        <w:t>=1.0，电流值为0.5Imax的检测点上，</w:t>
      </w:r>
      <w:r>
        <w:rPr>
          <w:sz w:val="24"/>
        </w:rPr>
        <w:t>在相临近的时间内</w:t>
      </w:r>
      <w:r>
        <w:rPr>
          <w:rFonts w:hint="eastAsia"/>
          <w:sz w:val="24"/>
        </w:rPr>
        <w:t>，每一次测量都启动控制按键，重复</w:t>
      </w:r>
      <w:r>
        <w:rPr>
          <w:sz w:val="24"/>
        </w:rPr>
        <w:t>测量10次，得到10个测量数据汇于表1：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7"/>
        <w:tblpPr w:leftFromText="180" w:rightFromText="180" w:vertAnchor="text" w:horzAnchor="page" w:tblpX="1622" w:tblpY="244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00"/>
        <w:gridCol w:w="820"/>
        <w:gridCol w:w="780"/>
        <w:gridCol w:w="850"/>
        <w:gridCol w:w="736"/>
        <w:gridCol w:w="666"/>
        <w:gridCol w:w="756"/>
        <w:gridCol w:w="794"/>
        <w:gridCol w:w="7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L(%)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0.1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color w:val="FF0000"/>
          <w:sz w:val="24"/>
        </w:rPr>
      </w:pPr>
    </w:p>
    <w:p>
      <w:pPr>
        <w:spacing w:line="360" w:lineRule="auto"/>
        <w:ind w:firstLine="720" w:firstLineChars="300"/>
        <w:rPr>
          <w:color w:val="FF0000"/>
          <w:sz w:val="24"/>
        </w:rPr>
      </w:pPr>
      <w:r>
        <w:rPr>
          <w:sz w:val="24"/>
        </w:rPr>
        <w:t xml:space="preserve">被测试件测量值的平均值：  </w:t>
      </w:r>
      <w:r>
        <w:rPr>
          <w:color w:val="FF0000"/>
          <w:position w:val="-20"/>
          <w:sz w:val="24"/>
        </w:rPr>
        <w:object>
          <v:shape id="_x0000_i1025" o:spt="75" alt="" type="#_x0000_t75" style="height:33.15pt;width:102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2"/>
          <w:sz w:val="24"/>
        </w:rPr>
        <w:object>
          <v:shape id="_x0000_i1026" o:spt="75" alt="" type="#_x0000_t75" style="height:40.9pt;width:168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被测量估计值</w:t>
      </w:r>
      <w:r>
        <w:rPr>
          <w:kern w:val="0"/>
          <w:position w:val="-4"/>
          <w:sz w:val="24"/>
        </w:rPr>
        <w:object>
          <v:shape id="_x0000_i1027" o:spt="75" type="#_x0000_t75" style="height:14.25pt;width:10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kern w:val="0"/>
          <w:position w:val="-4"/>
          <w:sz w:val="24"/>
          <w:lang w:val="en-US" w:eastAsia="zh-CN"/>
        </w:rPr>
        <w:t>的</w:t>
      </w:r>
      <w:r>
        <w:rPr>
          <w:kern w:val="0"/>
          <w:sz w:val="24"/>
        </w:rPr>
        <w:t>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1。</w:t>
      </w:r>
      <w:r>
        <w:rPr>
          <w:kern w:val="0"/>
          <w:sz w:val="24"/>
        </w:rPr>
        <w:t>（</w:t>
      </w:r>
      <w:r>
        <w:rPr>
          <w:kern w:val="0"/>
          <w:position w:val="-4"/>
          <w:sz w:val="24"/>
        </w:rPr>
        <w:object>
          <v:shape id="_x0000_i1028" o:spt="75" type="#_x0000_t75" style="height:14.25pt;width:10.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kern w:val="0"/>
          <w:sz w:val="24"/>
        </w:rPr>
        <w:t xml:space="preserve">为1组数据的平均值，取n=1）.标准不确定度分量：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1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0.0</w:t>
      </w:r>
      <w:r>
        <w:rPr>
          <w:rFonts w:hint="eastAsia"/>
          <w:sz w:val="24"/>
        </w:rPr>
        <w:t>42</w:t>
      </w:r>
      <w:r>
        <w:rPr>
          <w:rFonts w:hint="eastAsia"/>
          <w:sz w:val="24"/>
          <w:lang w:val="en-US" w:eastAsia="zh-CN"/>
        </w:rPr>
        <w:t>0%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测量设备引入的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单相电能表检定装置的检定证书出具的检定结果为：0.1级</w:t>
      </w:r>
      <w:r>
        <w:rPr>
          <w:sz w:val="24"/>
        </w:rPr>
        <w:t xml:space="preserve">, </w:t>
      </w:r>
      <w:r>
        <w:rPr>
          <w:rFonts w:hint="eastAsia"/>
          <w:sz w:val="24"/>
        </w:rPr>
        <w:t>即设备的最大允许误差为</w:t>
      </w:r>
      <w:r>
        <w:rPr>
          <w:sz w:val="24"/>
        </w:rPr>
        <w:t>±</w:t>
      </w:r>
      <w:r>
        <w:rPr>
          <w:rFonts w:hint="eastAsia"/>
          <w:sz w:val="24"/>
        </w:rPr>
        <w:t>0.1%，服从</w:t>
      </w:r>
      <w:r>
        <w:rPr>
          <w:sz w:val="24"/>
        </w:rPr>
        <w:t>均匀分布，半宽a=</w:t>
      </w:r>
      <w:r>
        <w:rPr>
          <w:rFonts w:hint="eastAsia"/>
          <w:sz w:val="24"/>
        </w:rPr>
        <w:t>0.1%</w:t>
      </w:r>
      <w:r>
        <w:rPr>
          <w:sz w:val="24"/>
        </w:rPr>
        <w:t>,取包含因子</w:t>
      </w:r>
      <w:r>
        <w:rPr>
          <w:i/>
          <w:iCs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>
          <v:shape id="_x0000_i1029" o:spt="75" type="#_x0000_t75" style="height:16.75pt;width:1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，则测量设备引入的标准不确定度分量为：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</m:oMath>
      <w:r>
        <w:rPr>
          <w:kern w:val="0"/>
          <w:sz w:val="24"/>
        </w:rPr>
        <w:t>=</w:t>
      </w:r>
      <w:r>
        <w:rPr>
          <w:kern w:val="0"/>
          <w:position w:val="-28"/>
          <w:sz w:val="24"/>
        </w:rPr>
        <w:object>
          <v:shape id="_x0000_i1030" o:spt="75" type="#_x0000_t75" style="height:35.15pt;width:112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4.1标准不确定度汇总表于表</w:t>
      </w:r>
      <w:r>
        <w:rPr>
          <w:rFonts w:hint="eastAsia"/>
          <w:sz w:val="24"/>
          <w:lang w:val="en-US" w:eastAsia="zh-CN"/>
        </w:rPr>
        <w:t>2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0420%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0577%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22"/>
          <w:sz w:val="24"/>
          <w:vertAlign w:val="subscript"/>
        </w:rPr>
        <w:object>
          <v:shape id="_x0000_i1031" o:spt="75" alt="" type="#_x0000_t75" style="height:30.4pt;width:259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kern w:val="0"/>
          <w:sz w:val="24"/>
        </w:rPr>
        <w:t>= 2，置信概率 95％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i/>
          <w:sz w:val="24"/>
        </w:rPr>
        <w:t>U＝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</w:t>
      </w:r>
      <w:r>
        <w:rPr>
          <w:rFonts w:hint="eastAsia"/>
          <w:sz w:val="24"/>
        </w:rPr>
        <w:t>.07%</w:t>
      </w:r>
      <w:r>
        <w:rPr>
          <w:sz w:val="24"/>
        </w:rPr>
        <w:t>＝</w:t>
      </w:r>
      <w:r>
        <w:rPr>
          <w:rFonts w:hint="eastAsia"/>
          <w:sz w:val="24"/>
        </w:rPr>
        <w:t>0.14%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</w:p>
    <w:p>
      <w:pPr>
        <w:spacing w:line="360" w:lineRule="auto"/>
        <w:ind w:firstLine="960" w:firstLineChars="400"/>
        <w:rPr>
          <w:rFonts w:hint="eastAsia"/>
          <w:sz w:val="24"/>
        </w:rPr>
      </w:pPr>
      <w:r>
        <w:rPr>
          <w:i/>
          <w:sz w:val="24"/>
        </w:rPr>
        <w:t>U</w:t>
      </w:r>
      <w:r>
        <w:rPr>
          <w:iCs/>
          <w:sz w:val="24"/>
        </w:rPr>
        <w:t>＝</w:t>
      </w:r>
      <w:r>
        <w:rPr>
          <w:rFonts w:hint="eastAsia"/>
          <w:iCs/>
          <w:sz w:val="24"/>
        </w:rPr>
        <w:t>0.14%</w:t>
      </w:r>
      <w:r>
        <w:rPr>
          <w:rFonts w:hint="eastAsia"/>
          <w:iCs/>
          <w:sz w:val="24"/>
          <w:lang w:val="en-US" w:eastAsia="zh-CN"/>
        </w:rPr>
        <w:t xml:space="preserve">  </w:t>
      </w:r>
      <w:r>
        <w:rPr>
          <w:i/>
          <w:iCs w:val="0"/>
          <w:kern w:val="0"/>
          <w:sz w:val="24"/>
        </w:rPr>
        <w:t xml:space="preserve">k </w:t>
      </w:r>
      <w:r>
        <w:rPr>
          <w:iCs/>
          <w:kern w:val="0"/>
          <w:sz w:val="24"/>
        </w:rPr>
        <w:t>= 2</w:t>
      </w:r>
      <w:bookmarkStart w:id="0" w:name="_GoBack"/>
      <w:bookmarkEnd w:id="0"/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8A36B9F"/>
    <w:multiLevelType w:val="singleLevel"/>
    <w:tmpl w:val="F8A36B9F"/>
    <w:lvl w:ilvl="0" w:tentative="0">
      <w:start w:val="12"/>
      <w:numFmt w:val="upperLetter"/>
      <w:suff w:val="nothing"/>
      <w:lvlText w:val="%1-"/>
      <w:lvlJc w:val="left"/>
    </w:lvl>
  </w:abstractNum>
  <w:abstractNum w:abstractNumId="3">
    <w:nsid w:val="0BFBD2C6"/>
    <w:multiLevelType w:val="singleLevel"/>
    <w:tmpl w:val="0BFBD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883FA6"/>
    <w:rsid w:val="009101CE"/>
    <w:rsid w:val="00A16F29"/>
    <w:rsid w:val="00A27A88"/>
    <w:rsid w:val="00B45D3B"/>
    <w:rsid w:val="00B61346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032A39"/>
    <w:rsid w:val="01131F5C"/>
    <w:rsid w:val="01A572D6"/>
    <w:rsid w:val="01BD7A4F"/>
    <w:rsid w:val="01E8114D"/>
    <w:rsid w:val="02134043"/>
    <w:rsid w:val="029D4DA9"/>
    <w:rsid w:val="039E0C08"/>
    <w:rsid w:val="04075530"/>
    <w:rsid w:val="0436565A"/>
    <w:rsid w:val="04444815"/>
    <w:rsid w:val="04833D81"/>
    <w:rsid w:val="048E78B7"/>
    <w:rsid w:val="04EB3566"/>
    <w:rsid w:val="052D5D16"/>
    <w:rsid w:val="05834B33"/>
    <w:rsid w:val="058556BD"/>
    <w:rsid w:val="059C21AC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4C0D82"/>
    <w:rsid w:val="0A4F76B2"/>
    <w:rsid w:val="0A6A0552"/>
    <w:rsid w:val="0A6D12D3"/>
    <w:rsid w:val="0A9A5E74"/>
    <w:rsid w:val="0AC9349C"/>
    <w:rsid w:val="0B397FDA"/>
    <w:rsid w:val="0B571171"/>
    <w:rsid w:val="0B9E444D"/>
    <w:rsid w:val="0BC05253"/>
    <w:rsid w:val="0BF568F1"/>
    <w:rsid w:val="0BFE7F4C"/>
    <w:rsid w:val="0C39210C"/>
    <w:rsid w:val="0C5D575B"/>
    <w:rsid w:val="0C6D0E4F"/>
    <w:rsid w:val="0CBB4B8B"/>
    <w:rsid w:val="0CCD0688"/>
    <w:rsid w:val="0CDE01E3"/>
    <w:rsid w:val="0CE0510D"/>
    <w:rsid w:val="0DA246D5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F021F8D"/>
    <w:rsid w:val="0F7C3AD7"/>
    <w:rsid w:val="0F895180"/>
    <w:rsid w:val="0FC13A76"/>
    <w:rsid w:val="0FF02D9D"/>
    <w:rsid w:val="100C52F8"/>
    <w:rsid w:val="10C76CC6"/>
    <w:rsid w:val="10E76E9C"/>
    <w:rsid w:val="11184210"/>
    <w:rsid w:val="117068EC"/>
    <w:rsid w:val="1193590A"/>
    <w:rsid w:val="11AF1B39"/>
    <w:rsid w:val="11BE495F"/>
    <w:rsid w:val="11BF157E"/>
    <w:rsid w:val="11DD0A90"/>
    <w:rsid w:val="11F07B6C"/>
    <w:rsid w:val="11FC45E8"/>
    <w:rsid w:val="12710F52"/>
    <w:rsid w:val="128517D8"/>
    <w:rsid w:val="12E47367"/>
    <w:rsid w:val="130D306D"/>
    <w:rsid w:val="13873537"/>
    <w:rsid w:val="139520C4"/>
    <w:rsid w:val="13CF716E"/>
    <w:rsid w:val="13F0621E"/>
    <w:rsid w:val="147A17CF"/>
    <w:rsid w:val="150669D4"/>
    <w:rsid w:val="152010AF"/>
    <w:rsid w:val="1541200E"/>
    <w:rsid w:val="156A766A"/>
    <w:rsid w:val="1581369B"/>
    <w:rsid w:val="15844914"/>
    <w:rsid w:val="15C75A68"/>
    <w:rsid w:val="15C75CC0"/>
    <w:rsid w:val="160C253A"/>
    <w:rsid w:val="1676652C"/>
    <w:rsid w:val="16A92675"/>
    <w:rsid w:val="17270964"/>
    <w:rsid w:val="175072CC"/>
    <w:rsid w:val="17DA36D9"/>
    <w:rsid w:val="18175742"/>
    <w:rsid w:val="183E7280"/>
    <w:rsid w:val="184846F1"/>
    <w:rsid w:val="1891397E"/>
    <w:rsid w:val="19680742"/>
    <w:rsid w:val="19905B34"/>
    <w:rsid w:val="19EA1606"/>
    <w:rsid w:val="19EC5021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CD6156D"/>
    <w:rsid w:val="1D181BAF"/>
    <w:rsid w:val="1D20123D"/>
    <w:rsid w:val="1D347F1B"/>
    <w:rsid w:val="1D4A0172"/>
    <w:rsid w:val="1D51099E"/>
    <w:rsid w:val="1D7625E1"/>
    <w:rsid w:val="1D7E6F35"/>
    <w:rsid w:val="1DB2779F"/>
    <w:rsid w:val="1E03261D"/>
    <w:rsid w:val="1E3A785E"/>
    <w:rsid w:val="1EF4175A"/>
    <w:rsid w:val="1F3F30FC"/>
    <w:rsid w:val="1F6966C8"/>
    <w:rsid w:val="1FBF3B04"/>
    <w:rsid w:val="1FCA323B"/>
    <w:rsid w:val="1FF22845"/>
    <w:rsid w:val="1FF43D6E"/>
    <w:rsid w:val="200B6EB8"/>
    <w:rsid w:val="20764CB2"/>
    <w:rsid w:val="207C095D"/>
    <w:rsid w:val="20A17D3E"/>
    <w:rsid w:val="20F75763"/>
    <w:rsid w:val="21141391"/>
    <w:rsid w:val="214F5096"/>
    <w:rsid w:val="21B44A2C"/>
    <w:rsid w:val="2204258C"/>
    <w:rsid w:val="22897E6A"/>
    <w:rsid w:val="22A05F60"/>
    <w:rsid w:val="22A54E85"/>
    <w:rsid w:val="22C443A4"/>
    <w:rsid w:val="22CF6C0C"/>
    <w:rsid w:val="23745E92"/>
    <w:rsid w:val="23A470A8"/>
    <w:rsid w:val="23D84F69"/>
    <w:rsid w:val="24884C9B"/>
    <w:rsid w:val="24CB6DA3"/>
    <w:rsid w:val="251B2B16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917E12"/>
    <w:rsid w:val="27BF5DE8"/>
    <w:rsid w:val="27E67DC6"/>
    <w:rsid w:val="283D6F36"/>
    <w:rsid w:val="2888703C"/>
    <w:rsid w:val="28E30BCC"/>
    <w:rsid w:val="28E72B1C"/>
    <w:rsid w:val="292A5016"/>
    <w:rsid w:val="295164B2"/>
    <w:rsid w:val="295D751C"/>
    <w:rsid w:val="295E52F6"/>
    <w:rsid w:val="298731C5"/>
    <w:rsid w:val="29DD4721"/>
    <w:rsid w:val="2A804D18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25C92"/>
    <w:rsid w:val="2C7F5B3F"/>
    <w:rsid w:val="2CB95CCB"/>
    <w:rsid w:val="2CBF2EC6"/>
    <w:rsid w:val="2CD45115"/>
    <w:rsid w:val="2D9C69F1"/>
    <w:rsid w:val="2DB72CF5"/>
    <w:rsid w:val="2E295516"/>
    <w:rsid w:val="2E5D60B8"/>
    <w:rsid w:val="2F4421D9"/>
    <w:rsid w:val="2F71161C"/>
    <w:rsid w:val="2F8341B4"/>
    <w:rsid w:val="2FC91055"/>
    <w:rsid w:val="302A1081"/>
    <w:rsid w:val="30FA3624"/>
    <w:rsid w:val="31130268"/>
    <w:rsid w:val="31476743"/>
    <w:rsid w:val="3194312D"/>
    <w:rsid w:val="319C4417"/>
    <w:rsid w:val="31F564F9"/>
    <w:rsid w:val="32002692"/>
    <w:rsid w:val="3248224A"/>
    <w:rsid w:val="326B7BD8"/>
    <w:rsid w:val="329657FA"/>
    <w:rsid w:val="329A0539"/>
    <w:rsid w:val="32AA72EE"/>
    <w:rsid w:val="32B6552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4542E"/>
    <w:rsid w:val="369670BA"/>
    <w:rsid w:val="36B1337A"/>
    <w:rsid w:val="36EA7F37"/>
    <w:rsid w:val="36EF3636"/>
    <w:rsid w:val="374B63DB"/>
    <w:rsid w:val="37A94C31"/>
    <w:rsid w:val="37E62B54"/>
    <w:rsid w:val="37F17F01"/>
    <w:rsid w:val="3832240A"/>
    <w:rsid w:val="385C5CFF"/>
    <w:rsid w:val="388D2FD0"/>
    <w:rsid w:val="389B0011"/>
    <w:rsid w:val="389B26C6"/>
    <w:rsid w:val="38A345A1"/>
    <w:rsid w:val="38F00271"/>
    <w:rsid w:val="39231CA2"/>
    <w:rsid w:val="3979419B"/>
    <w:rsid w:val="39983970"/>
    <w:rsid w:val="39B90E5F"/>
    <w:rsid w:val="39C51A88"/>
    <w:rsid w:val="39D94E03"/>
    <w:rsid w:val="39F55E38"/>
    <w:rsid w:val="3A366619"/>
    <w:rsid w:val="3A532552"/>
    <w:rsid w:val="3A546CFB"/>
    <w:rsid w:val="3A583AD8"/>
    <w:rsid w:val="3A9E7CD6"/>
    <w:rsid w:val="3AAF7064"/>
    <w:rsid w:val="3B3532F3"/>
    <w:rsid w:val="3BDE79F0"/>
    <w:rsid w:val="3BF007D8"/>
    <w:rsid w:val="3C190BD7"/>
    <w:rsid w:val="3C721B13"/>
    <w:rsid w:val="3CC6578B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1D630D"/>
    <w:rsid w:val="409E3002"/>
    <w:rsid w:val="409F2474"/>
    <w:rsid w:val="413E4CD5"/>
    <w:rsid w:val="41733268"/>
    <w:rsid w:val="41815A03"/>
    <w:rsid w:val="419824D2"/>
    <w:rsid w:val="419B4960"/>
    <w:rsid w:val="421836FA"/>
    <w:rsid w:val="42473790"/>
    <w:rsid w:val="42B72E18"/>
    <w:rsid w:val="43116D5D"/>
    <w:rsid w:val="43226E9A"/>
    <w:rsid w:val="43310DEF"/>
    <w:rsid w:val="43874DDA"/>
    <w:rsid w:val="43E1370A"/>
    <w:rsid w:val="44191BBB"/>
    <w:rsid w:val="447828CB"/>
    <w:rsid w:val="44957419"/>
    <w:rsid w:val="44CD1324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7115130"/>
    <w:rsid w:val="471A718B"/>
    <w:rsid w:val="47674205"/>
    <w:rsid w:val="47CD4DF0"/>
    <w:rsid w:val="481174DD"/>
    <w:rsid w:val="48971A0A"/>
    <w:rsid w:val="49680B69"/>
    <w:rsid w:val="499A7F67"/>
    <w:rsid w:val="499D7538"/>
    <w:rsid w:val="49E153D4"/>
    <w:rsid w:val="49EA0FF1"/>
    <w:rsid w:val="49F66AF1"/>
    <w:rsid w:val="4A224389"/>
    <w:rsid w:val="4A2B6181"/>
    <w:rsid w:val="4A4334F0"/>
    <w:rsid w:val="4A5D5169"/>
    <w:rsid w:val="4A6B7A4E"/>
    <w:rsid w:val="4AE26A39"/>
    <w:rsid w:val="4B522FFF"/>
    <w:rsid w:val="4B5F1004"/>
    <w:rsid w:val="4BA806D8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745CA4"/>
    <w:rsid w:val="4D9C3C1C"/>
    <w:rsid w:val="4E1A1F86"/>
    <w:rsid w:val="4E1C29D4"/>
    <w:rsid w:val="4E376FEA"/>
    <w:rsid w:val="4E404BF6"/>
    <w:rsid w:val="4E511EC7"/>
    <w:rsid w:val="4E537ACA"/>
    <w:rsid w:val="4E57304D"/>
    <w:rsid w:val="4E9273F7"/>
    <w:rsid w:val="4EC074DC"/>
    <w:rsid w:val="4F0F4307"/>
    <w:rsid w:val="4F3508CD"/>
    <w:rsid w:val="4FC31E5E"/>
    <w:rsid w:val="4FC501D3"/>
    <w:rsid w:val="503109B0"/>
    <w:rsid w:val="504B4C1A"/>
    <w:rsid w:val="506A3EB6"/>
    <w:rsid w:val="506C483B"/>
    <w:rsid w:val="50CA1F6E"/>
    <w:rsid w:val="510D7F1F"/>
    <w:rsid w:val="51103D48"/>
    <w:rsid w:val="51216689"/>
    <w:rsid w:val="513B0B9F"/>
    <w:rsid w:val="51610189"/>
    <w:rsid w:val="51613A75"/>
    <w:rsid w:val="51B30D8C"/>
    <w:rsid w:val="51D57638"/>
    <w:rsid w:val="51D71733"/>
    <w:rsid w:val="52163E48"/>
    <w:rsid w:val="52315D80"/>
    <w:rsid w:val="526747A8"/>
    <w:rsid w:val="5271040D"/>
    <w:rsid w:val="53152507"/>
    <w:rsid w:val="53375584"/>
    <w:rsid w:val="535139EC"/>
    <w:rsid w:val="536A5EBD"/>
    <w:rsid w:val="53C67328"/>
    <w:rsid w:val="53F72C8E"/>
    <w:rsid w:val="53FA051D"/>
    <w:rsid w:val="544762D1"/>
    <w:rsid w:val="546F1767"/>
    <w:rsid w:val="547419BE"/>
    <w:rsid w:val="54A719C3"/>
    <w:rsid w:val="550D2A39"/>
    <w:rsid w:val="55366705"/>
    <w:rsid w:val="5585369C"/>
    <w:rsid w:val="558C45D2"/>
    <w:rsid w:val="55D06237"/>
    <w:rsid w:val="55E0145F"/>
    <w:rsid w:val="55E75361"/>
    <w:rsid w:val="561C144A"/>
    <w:rsid w:val="56755922"/>
    <w:rsid w:val="56C5210A"/>
    <w:rsid w:val="570F2FDE"/>
    <w:rsid w:val="573B6A48"/>
    <w:rsid w:val="578B3B65"/>
    <w:rsid w:val="57CC2099"/>
    <w:rsid w:val="582F6F84"/>
    <w:rsid w:val="5883181D"/>
    <w:rsid w:val="58901B50"/>
    <w:rsid w:val="589249BA"/>
    <w:rsid w:val="58C87CC6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EA12A0"/>
    <w:rsid w:val="59F76522"/>
    <w:rsid w:val="5A3C5121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8B1BDC"/>
    <w:rsid w:val="5EF23C9C"/>
    <w:rsid w:val="5EFD54A6"/>
    <w:rsid w:val="5F456B51"/>
    <w:rsid w:val="5FBA6C7D"/>
    <w:rsid w:val="6001421E"/>
    <w:rsid w:val="6007674C"/>
    <w:rsid w:val="600B2CAE"/>
    <w:rsid w:val="602F4E4E"/>
    <w:rsid w:val="604903C9"/>
    <w:rsid w:val="60493D24"/>
    <w:rsid w:val="60501025"/>
    <w:rsid w:val="60571F5B"/>
    <w:rsid w:val="60A22F1C"/>
    <w:rsid w:val="61131B89"/>
    <w:rsid w:val="614439C5"/>
    <w:rsid w:val="6171498D"/>
    <w:rsid w:val="61877715"/>
    <w:rsid w:val="625C24E6"/>
    <w:rsid w:val="6304360C"/>
    <w:rsid w:val="634F489A"/>
    <w:rsid w:val="636B6556"/>
    <w:rsid w:val="639677D8"/>
    <w:rsid w:val="63BD10F1"/>
    <w:rsid w:val="63DB627B"/>
    <w:rsid w:val="648956CF"/>
    <w:rsid w:val="64E21E2A"/>
    <w:rsid w:val="64FF4127"/>
    <w:rsid w:val="65107258"/>
    <w:rsid w:val="66352759"/>
    <w:rsid w:val="66413CAC"/>
    <w:rsid w:val="675A3771"/>
    <w:rsid w:val="676A399F"/>
    <w:rsid w:val="6795759A"/>
    <w:rsid w:val="67E06173"/>
    <w:rsid w:val="680B21F5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3D6D70"/>
    <w:rsid w:val="6A764632"/>
    <w:rsid w:val="6A8F5AB3"/>
    <w:rsid w:val="6B51027F"/>
    <w:rsid w:val="6B975284"/>
    <w:rsid w:val="6BAD067B"/>
    <w:rsid w:val="6BF70BCC"/>
    <w:rsid w:val="6C5A5A6D"/>
    <w:rsid w:val="6CB540F2"/>
    <w:rsid w:val="6CBA1BE7"/>
    <w:rsid w:val="6D0435F8"/>
    <w:rsid w:val="6D195B18"/>
    <w:rsid w:val="6D1A7968"/>
    <w:rsid w:val="6DA0701F"/>
    <w:rsid w:val="6DA34120"/>
    <w:rsid w:val="6E54677B"/>
    <w:rsid w:val="6E6004F2"/>
    <w:rsid w:val="6E632DE0"/>
    <w:rsid w:val="6E6711A3"/>
    <w:rsid w:val="6E9F7006"/>
    <w:rsid w:val="6EA232AD"/>
    <w:rsid w:val="6EE5207C"/>
    <w:rsid w:val="6F09279C"/>
    <w:rsid w:val="6FAF1442"/>
    <w:rsid w:val="6FCE3789"/>
    <w:rsid w:val="6FEB2C4F"/>
    <w:rsid w:val="702B3A5D"/>
    <w:rsid w:val="70FB6942"/>
    <w:rsid w:val="711D6692"/>
    <w:rsid w:val="71411843"/>
    <w:rsid w:val="71472155"/>
    <w:rsid w:val="718843E3"/>
    <w:rsid w:val="71F52FD3"/>
    <w:rsid w:val="72504295"/>
    <w:rsid w:val="72761EF4"/>
    <w:rsid w:val="72BE3DBB"/>
    <w:rsid w:val="730A7984"/>
    <w:rsid w:val="733C6C07"/>
    <w:rsid w:val="7376125A"/>
    <w:rsid w:val="739666E4"/>
    <w:rsid w:val="74065F4B"/>
    <w:rsid w:val="743D06D5"/>
    <w:rsid w:val="7460690A"/>
    <w:rsid w:val="746B1046"/>
    <w:rsid w:val="747F6300"/>
    <w:rsid w:val="75264FB8"/>
    <w:rsid w:val="7529196A"/>
    <w:rsid w:val="753B0584"/>
    <w:rsid w:val="75513159"/>
    <w:rsid w:val="75725349"/>
    <w:rsid w:val="75741642"/>
    <w:rsid w:val="75EC159B"/>
    <w:rsid w:val="764A3684"/>
    <w:rsid w:val="76513AFF"/>
    <w:rsid w:val="766C27D1"/>
    <w:rsid w:val="772324D8"/>
    <w:rsid w:val="77572114"/>
    <w:rsid w:val="77595F33"/>
    <w:rsid w:val="776444D5"/>
    <w:rsid w:val="77DE46D3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DB75EF"/>
    <w:rsid w:val="7B09220C"/>
    <w:rsid w:val="7B1A5A17"/>
    <w:rsid w:val="7BA07EF1"/>
    <w:rsid w:val="7BF02C26"/>
    <w:rsid w:val="7C797189"/>
    <w:rsid w:val="7C95612F"/>
    <w:rsid w:val="7CBD5A0B"/>
    <w:rsid w:val="7CD35AB8"/>
    <w:rsid w:val="7CFF235E"/>
    <w:rsid w:val="7D396B96"/>
    <w:rsid w:val="7DC46F29"/>
    <w:rsid w:val="7DDA6779"/>
    <w:rsid w:val="7DE91E93"/>
    <w:rsid w:val="7E320E13"/>
    <w:rsid w:val="7E7408DC"/>
    <w:rsid w:val="7E943B7D"/>
    <w:rsid w:val="7F18172A"/>
    <w:rsid w:val="7FB6409D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</Words>
  <Characters>1151</Characters>
  <Lines>9</Lines>
  <Paragraphs>2</Paragraphs>
  <TotalTime>0</TotalTime>
  <ScaleCrop>false</ScaleCrop>
  <LinksUpToDate>false</LinksUpToDate>
  <CharactersWithSpaces>1350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2022-03-28T05:41:04Z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F97E1A89D2B14302BC89888BD13669D3</vt:lpwstr>
  </property>
</Properties>
</file>