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A0" w:rsidRPr="000130A2" w:rsidRDefault="001A7FE1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0130A2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134"/>
        <w:gridCol w:w="10490"/>
        <w:gridCol w:w="1292"/>
      </w:tblGrid>
      <w:tr w:rsidR="007F23A0" w:rsidRPr="000130A2">
        <w:trPr>
          <w:trHeight w:val="340"/>
          <w:jc w:val="center"/>
        </w:trPr>
        <w:tc>
          <w:tcPr>
            <w:tcW w:w="1827" w:type="dxa"/>
            <w:vMerge w:val="restart"/>
            <w:tcBorders>
              <w:top w:val="single" w:sz="8" w:space="0" w:color="auto"/>
            </w:tcBorders>
          </w:tcPr>
          <w:p w:rsidR="007F23A0" w:rsidRPr="000130A2" w:rsidRDefault="007F23A0" w:rsidP="000130A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0130A2" w:rsidRDefault="001A7FE1" w:rsidP="000130A2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="001C2182" w:rsidRPr="000130A2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</w:rPr>
              <w:t>供销部</w:t>
            </w:r>
            <w:r w:rsidRPr="000130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（含</w:t>
            </w:r>
            <w:r w:rsidR="001C2182" w:rsidRPr="000130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仓库</w:t>
            </w:r>
            <w:r w:rsidRPr="000130A2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） </w:t>
            </w:r>
            <w:r w:rsidRPr="000130A2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主管领导：</w:t>
            </w:r>
            <w:r w:rsidR="004728A7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郭尚萍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陪同人员：</w:t>
            </w:r>
            <w:r w:rsidR="00537F58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李桂存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7F23A0" w:rsidRPr="000130A2">
        <w:trPr>
          <w:trHeight w:val="340"/>
          <w:jc w:val="center"/>
        </w:trPr>
        <w:tc>
          <w:tcPr>
            <w:tcW w:w="1827" w:type="dxa"/>
            <w:vMerge/>
          </w:tcPr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spacing w:before="12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1C2182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审核时间：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 w:rsidR="001C2182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B469D7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B469D7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9-10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日 </w:t>
            </w:r>
          </w:p>
        </w:tc>
        <w:tc>
          <w:tcPr>
            <w:tcW w:w="1292" w:type="dxa"/>
            <w:vMerge/>
            <w:vAlign w:val="center"/>
          </w:tcPr>
          <w:p w:rsidR="007F23A0" w:rsidRPr="000130A2" w:rsidRDefault="007F23A0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0130A2">
        <w:trPr>
          <w:trHeight w:val="340"/>
          <w:jc w:val="center"/>
        </w:trPr>
        <w:tc>
          <w:tcPr>
            <w:tcW w:w="1827" w:type="dxa"/>
            <w:vMerge/>
          </w:tcPr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23A0" w:rsidRPr="000130A2" w:rsidRDefault="007F23A0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0130A2">
              <w:rPr>
                <w:rFonts w:asciiTheme="minorEastAsia" w:eastAsiaTheme="minorEastAsia" w:hAnsiTheme="minorEastAsia" w:hint="eastAsia"/>
                <w:szCs w:val="21"/>
              </w:rPr>
              <w:t>审核条款：</w:t>
            </w:r>
          </w:p>
          <w:p w:rsidR="001C2182" w:rsidRPr="000130A2" w:rsidRDefault="001C2182" w:rsidP="000130A2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0130A2">
              <w:rPr>
                <w:rFonts w:asciiTheme="minorEastAsia" w:eastAsiaTheme="minorEastAsia" w:hAnsiTheme="minorEastAsia" w:cs="Arial" w:hint="eastAsia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1C2182" w:rsidRPr="000130A2" w:rsidRDefault="001C2182" w:rsidP="000130A2">
            <w:pPr>
              <w:adjustRightInd w:val="0"/>
              <w:snapToGrid w:val="0"/>
              <w:spacing w:line="360" w:lineRule="auto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Arial"/>
                <w:szCs w:val="21"/>
              </w:rPr>
            </w:pPr>
            <w:r w:rsidRPr="000130A2">
              <w:rPr>
                <w:rFonts w:asciiTheme="minorEastAsia" w:eastAsiaTheme="minorEastAsia" w:hAnsiTheme="minorEastAsia" w:cs="Arial" w:hint="eastAsia"/>
                <w:szCs w:val="21"/>
              </w:rPr>
              <w:t>8.5.3顾客或外部供方的财产、8.5.5交付后的活动、9.1.2顾客满意，</w:t>
            </w:r>
          </w:p>
          <w:p w:rsidR="001C2182" w:rsidRPr="000130A2" w:rsidRDefault="001C2182" w:rsidP="000130A2">
            <w:pPr>
              <w:spacing w:line="360" w:lineRule="auto"/>
              <w:rPr>
                <w:rFonts w:asciiTheme="minorEastAsia" w:eastAsiaTheme="minorEastAsia" w:hAnsiTheme="minorEastAsia" w:cs="Arial"/>
                <w:szCs w:val="21"/>
              </w:rPr>
            </w:pPr>
            <w:r w:rsidRPr="000130A2">
              <w:rPr>
                <w:rFonts w:asciiTheme="minorEastAsia" w:eastAsiaTheme="minorEastAsia" w:hAnsiTheme="minorEastAsia" w:cs="Arial" w:hint="eastAsia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7F23A0" w:rsidRPr="000130A2" w:rsidRDefault="001C2182" w:rsidP="000130A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0130A2">
              <w:rPr>
                <w:rFonts w:asciiTheme="minorEastAsia" w:eastAsiaTheme="minorEastAsia" w:hAnsiTheme="minorEastAsia" w:cs="Arial" w:hint="eastAsia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1292" w:type="dxa"/>
            <w:vMerge/>
            <w:vAlign w:val="center"/>
          </w:tcPr>
          <w:p w:rsidR="007F23A0" w:rsidRPr="000130A2" w:rsidRDefault="007F23A0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0130A2">
        <w:trPr>
          <w:trHeight w:val="340"/>
          <w:jc w:val="center"/>
        </w:trPr>
        <w:tc>
          <w:tcPr>
            <w:tcW w:w="1827" w:type="dxa"/>
            <w:tcBorders>
              <w:top w:val="single" w:sz="8" w:space="0" w:color="auto"/>
            </w:tcBorders>
          </w:tcPr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组织的岗位职责和权限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</w:t>
            </w:r>
          </w:p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5.3</w:t>
            </w: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本部门主要负责与客户签订合同及合同的管理；负责特殊合同的组织评审工作；</w:t>
            </w:r>
          </w:p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负责顾客满意度的调查工作及市场调查工作；负责售后服务工作；</w:t>
            </w:r>
            <w:r w:rsidR="00DD5564"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负责合格供方选择、评价、复评、管理工作；负责原材料的采购工作；负责采购合同和采购计划的拟定工作。</w:t>
            </w:r>
          </w:p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负责本部门环境因素、危险源或潜在风险的识别、措施和目标分析，遵守相关法规制度要求；</w:t>
            </w:r>
          </w:p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负责本部门相关废弃物、安全的管理，节约水资源，降低环境污染。做好进入厂区顾客的陪同及环境安全告知和必要管理。</w:t>
            </w:r>
          </w:p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与部门负责人交流其部门职责和权限，与管理手册中规定一致。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vAlign w:val="center"/>
          </w:tcPr>
          <w:p w:rsidR="007F23A0" w:rsidRPr="000130A2" w:rsidRDefault="001A7FE1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t>OK</w:t>
            </w:r>
          </w:p>
          <w:p w:rsidR="007F23A0" w:rsidRPr="000130A2" w:rsidRDefault="007F23A0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0130A2">
        <w:trPr>
          <w:trHeight w:val="340"/>
          <w:jc w:val="center"/>
        </w:trPr>
        <w:tc>
          <w:tcPr>
            <w:tcW w:w="1827" w:type="dxa"/>
          </w:tcPr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目标及其实现策划</w:t>
            </w:r>
          </w:p>
        </w:tc>
        <w:tc>
          <w:tcPr>
            <w:tcW w:w="1134" w:type="dxa"/>
          </w:tcPr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QEO</w:t>
            </w:r>
          </w:p>
          <w:p w:rsidR="007F23A0" w:rsidRPr="000130A2" w:rsidRDefault="001A7FE1" w:rsidP="000130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6.2</w:t>
            </w:r>
            <w:r w:rsidR="009A0E70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:rsidR="007F23A0" w:rsidRPr="000130A2" w:rsidRDefault="001A7FE1" w:rsidP="000130A2">
            <w:pPr>
              <w:spacing w:line="360" w:lineRule="auto"/>
              <w:ind w:firstLineChars="200" w:firstLine="520"/>
              <w:jc w:val="left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提供本部门质量分解目标，公司环境、职业健康安全目标、指标和管理方案。</w:t>
            </w:r>
          </w:p>
          <w:p w:rsidR="007F23A0" w:rsidRPr="000130A2" w:rsidRDefault="001A7FE1" w:rsidP="000130A2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4"/>
                <w:szCs w:val="24"/>
              </w:rPr>
              <w:t>抽分解目标均达成：</w:t>
            </w:r>
          </w:p>
          <w:p w:rsidR="00A84E3E" w:rsidRPr="000130A2" w:rsidRDefault="00A84E3E" w:rsidP="000130A2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tblInd w:w="1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9"/>
              <w:gridCol w:w="3544"/>
              <w:gridCol w:w="2126"/>
            </w:tblGrid>
            <w:tr w:rsidR="000130A2" w:rsidRPr="000130A2" w:rsidTr="0006344E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lastRenderedPageBreak/>
                    <w:t>供销部</w:t>
                  </w:r>
                </w:p>
              </w:tc>
              <w:tc>
                <w:tcPr>
                  <w:tcW w:w="3544" w:type="dxa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1、顾客满意度≥95%</w:t>
                  </w:r>
                </w:p>
              </w:tc>
              <w:tc>
                <w:tcPr>
                  <w:tcW w:w="2126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t>97％</w:t>
                  </w:r>
                </w:p>
              </w:tc>
            </w:tr>
            <w:tr w:rsidR="000130A2" w:rsidRPr="000130A2" w:rsidTr="0006344E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t>供销部</w:t>
                  </w:r>
                </w:p>
              </w:tc>
              <w:tc>
                <w:tcPr>
                  <w:tcW w:w="3544" w:type="dxa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2、火灾事故为0</w:t>
                  </w:r>
                </w:p>
              </w:tc>
              <w:tc>
                <w:tcPr>
                  <w:tcW w:w="2126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130A2" w:rsidRPr="000130A2" w:rsidTr="0006344E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t>供销部</w:t>
                  </w:r>
                </w:p>
              </w:tc>
              <w:tc>
                <w:tcPr>
                  <w:tcW w:w="3544" w:type="dxa"/>
                </w:tcPr>
                <w:p w:rsidR="000130A2" w:rsidRPr="000130A2" w:rsidRDefault="000130A2" w:rsidP="000130A2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3、工伤事故为0</w:t>
                  </w:r>
                </w:p>
              </w:tc>
              <w:tc>
                <w:tcPr>
                  <w:tcW w:w="2126" w:type="dxa"/>
                  <w:vAlign w:val="center"/>
                </w:tcPr>
                <w:p w:rsidR="000130A2" w:rsidRPr="000130A2" w:rsidRDefault="000130A2" w:rsidP="000130A2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 w:val="24"/>
                      <w:szCs w:val="24"/>
                    </w:rPr>
                  </w:pPr>
                  <w:r w:rsidRPr="000130A2">
                    <w:rPr>
                      <w:rFonts w:asciiTheme="minorEastAsia" w:eastAsiaTheme="minorEastAsia" w:hAnsiTheme="minorEastAsia" w:hint="eastAsia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A84E3E" w:rsidRPr="000130A2" w:rsidRDefault="00A84E3E" w:rsidP="000130A2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0130A2" w:rsidRDefault="001A7FE1" w:rsidP="000130A2">
            <w:pPr>
              <w:pStyle w:val="a3"/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有</w:t>
            </w:r>
            <w:r w:rsidR="00FF596D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2022.1.4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目标、指标和管理方案完成情况统计及跟进：目标指标均达成，方案有效实施。</w:t>
            </w:r>
          </w:p>
        </w:tc>
        <w:tc>
          <w:tcPr>
            <w:tcW w:w="1292" w:type="dxa"/>
            <w:vAlign w:val="center"/>
          </w:tcPr>
          <w:p w:rsidR="007F23A0" w:rsidRPr="000130A2" w:rsidRDefault="001A7FE1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lastRenderedPageBreak/>
              <w:t>OK</w:t>
            </w:r>
          </w:p>
          <w:p w:rsidR="007F23A0" w:rsidRPr="000130A2" w:rsidRDefault="007F23A0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8AF" w:rsidRPr="000130A2" w:rsidTr="00503082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顾客沟通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QMS:8.2.1</w:t>
            </w:r>
            <w:r w:rsidRPr="000130A2">
              <w:rPr>
                <w:rFonts w:asciiTheme="minorEastAsia" w:eastAsiaTheme="minorEastAsia" w:hAnsiTheme="minorEastAsia" w:cs="Arial"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</w:tcPr>
          <w:p w:rsidR="0041447E" w:rsidRPr="000130A2" w:rsidRDefault="0041447E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编制了《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与顾客有关的过程控制程序QYZY-CX-9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》，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公司产品主要是</w:t>
            </w:r>
            <w:bookmarkStart w:id="0" w:name="审核范围"/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防静电服、阻燃防护服、普通工作服</w:t>
            </w:r>
            <w:bookmarkEnd w:id="0"/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，由业务人员负责与客户进行沟通，主要沟通内容为产品要求、价格、数量、发货日期等信息，过程中主要针对进度、变更、修改、质量反馈等，售后主要沟通交付情况、顾客满意等。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公司与顾客沟通的方式有：电话、传真、邮件、QQ、微信、调查表、拜访等。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供销部经理介绍企业未发生过因沟通不畅导致客户投诉的情况。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t>OK</w:t>
            </w: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8AF" w:rsidRPr="000130A2" w:rsidTr="00503082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与产品有关要求的确定，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与产品有关要求评审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QMS：8.2.2、8.2.3</w:t>
            </w:r>
            <w:r w:rsidRPr="000130A2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</w:tcPr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主要业务以招标文件、订单、合同、电话、邮件、传真等形式确定与产品有关的要求，均已保存或进行相应的记录。对顾客的要求由供销部内勤直接对顾客要求进行识别、确认，对于存在的问题直接提出和顾客进行交流沟通。</w:t>
            </w: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企业对产品要求进行识别确认，由供销部经理组织人员评审，</w:t>
            </w:r>
            <w:r w:rsidR="00AC356B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填写</w:t>
            </w:r>
            <w:r w:rsidR="00AC356B" w:rsidRPr="00AC356B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合同评审登记表</w:t>
            </w:r>
            <w:r w:rsidR="00AC356B" w:rsidRPr="00AC356B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经评审能满足要求后签订销售合同。</w:t>
            </w: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抽1）查20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日客户</w:t>
            </w:r>
            <w:r w:rsidR="00206A16">
              <w:rPr>
                <w:rFonts w:hAnsi="宋体" w:cs="宋体" w:hint="eastAsia"/>
                <w:color w:val="000000"/>
                <w:sz w:val="24"/>
              </w:rPr>
              <w:t>中石油管道有限责任公司西气东输银川分公司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采购劳保防护用品，合同中明确了质量、价格、交货期、数量、服务、付款方式等要求。</w:t>
            </w:r>
          </w:p>
          <w:p w:rsidR="001C68AF" w:rsidRPr="000130A2" w:rsidRDefault="00206A16" w:rsidP="00206A16">
            <w:pPr>
              <w:pStyle w:val="a4"/>
              <w:spacing w:line="360" w:lineRule="auto"/>
              <w:ind w:firstLineChars="150" w:firstLine="315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55CF729" wp14:editId="6A82B888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203200</wp:posOffset>
                  </wp:positionV>
                  <wp:extent cx="5486400" cy="37407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7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68AF" w:rsidRDefault="001C68AF" w:rsidP="00206A16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206A16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P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206A16" w:rsidP="00206A16">
            <w:pPr>
              <w:pStyle w:val="a4"/>
              <w:spacing w:line="360" w:lineRule="auto"/>
              <w:ind w:firstLineChars="150" w:firstLine="315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1BA99C22" wp14:editId="54D77C79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16510</wp:posOffset>
                  </wp:positionV>
                  <wp:extent cx="5486400" cy="166751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68AF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Default="00206A16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206A16" w:rsidRPr="000130A2" w:rsidRDefault="00206A16" w:rsidP="00206A16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00" w:firstLine="24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CB577A" w:rsidP="000130A2">
            <w:pPr>
              <w:pStyle w:val="a4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</w:t>
            </w:r>
            <w:r w:rsidR="001C68AF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组织供销部、生产技术部人员进行了合同评审，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</w:t>
            </w:r>
            <w:r w:rsidR="00206A16"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合同评审登记表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”</w:t>
            </w:r>
            <w:r w:rsidR="00206A16"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，2021.5.4日</w:t>
            </w:r>
            <w:r w:rsidR="001C68AF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经评审可以</w:t>
            </w:r>
            <w:r w:rsid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签订合同</w:t>
            </w:r>
            <w:r w:rsidR="001C68AF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2）查20</w:t>
            </w:r>
            <w:r w:rsid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8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26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日客户</w:t>
            </w:r>
            <w:r w:rsidR="00CB577A" w:rsidRP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国家管网集团北方管道有限责任公司丹东输油气分公司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采购</w:t>
            </w:r>
            <w:r w:rsid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棉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工作服</w:t>
            </w:r>
            <w:r w:rsidR="00CB577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20套，单工作服20套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</w:p>
          <w:p w:rsidR="00CB577A" w:rsidRPr="000130A2" w:rsidRDefault="00CB577A" w:rsidP="00CB577A">
            <w:pPr>
              <w:pStyle w:val="a4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企业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组织供销部、生产技术部人员进行了合同评审，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提供“</w:t>
            </w:r>
            <w:r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合同评审登记表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”</w:t>
            </w:r>
            <w:r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，2021.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8</w:t>
            </w:r>
            <w:r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26</w:t>
            </w:r>
            <w:r w:rsidRPr="00206A16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经评审可以</w:t>
            </w: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签订合同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A60039" w:rsidRDefault="001C68AF" w:rsidP="00A60039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3）查20</w:t>
            </w:r>
            <w:r w:rsidR="00E3751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E3751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.2</w:t>
            </w:r>
            <w:r w:rsidR="00E3751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日客户</w:t>
            </w:r>
            <w:r w:rsidR="00E37510" w:rsidRPr="00E3751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江西省天然气集团有限公司管道分公司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采购防静电</w:t>
            </w:r>
            <w:r w:rsidR="00E37510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服、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工作服，</w:t>
            </w:r>
          </w:p>
          <w:p w:rsidR="00E37510" w:rsidRDefault="00A60039" w:rsidP="00A60039">
            <w:pPr>
              <w:pStyle w:val="a4"/>
              <w:spacing w:line="360" w:lineRule="auto"/>
              <w:ind w:firstLineChars="150" w:firstLine="315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124616E8" wp14:editId="25E98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92710</wp:posOffset>
                  </wp:positionV>
                  <wp:extent cx="6202132" cy="30099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132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37510" w:rsidRDefault="00E37510" w:rsidP="00A60039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E37510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</w:p>
          <w:p w:rsidR="00E37510" w:rsidRDefault="00A60039" w:rsidP="00A60039">
            <w:pPr>
              <w:pStyle w:val="a4"/>
              <w:spacing w:line="360" w:lineRule="auto"/>
              <w:ind w:firstLineChars="150" w:firstLine="315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0DA2F464" wp14:editId="3F864EC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234950</wp:posOffset>
                  </wp:positionV>
                  <wp:extent cx="5486400" cy="35737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57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A60039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</w:pPr>
          </w:p>
          <w:p w:rsidR="00A60039" w:rsidRPr="000130A2" w:rsidRDefault="00A60039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1C68AF" w:rsidRPr="00A60039" w:rsidRDefault="00FF3FC3" w:rsidP="00A60039">
            <w:pPr>
              <w:autoSpaceDE w:val="0"/>
              <w:autoSpaceDN w:val="0"/>
              <w:adjustRightInd w:val="0"/>
              <w:spacing w:line="460" w:lineRule="exact"/>
              <w:ind w:leftChars="100" w:left="210" w:firstLineChars="197" w:firstLine="475"/>
              <w:jc w:val="left"/>
              <w:rPr>
                <w:rFonts w:asciiTheme="minorEastAsia" w:eastAsiaTheme="minorEastAsia" w:hAnsiTheme="minorEastAsia" w:cs="楷体"/>
                <w:b/>
                <w:sz w:val="24"/>
                <w:szCs w:val="24"/>
              </w:rPr>
            </w:pPr>
            <w:proofErr w:type="gramStart"/>
            <w:r w:rsidRPr="00A60039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查销售</w:t>
            </w:r>
            <w:proofErr w:type="gramEnd"/>
            <w:r w:rsidRPr="00A60039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合同评审情况：无法提供对以上销售合同进行“确保有能力向顾客提供满足要求的产品和服务，在承诺向顾客提供产品和服务之前，组织应对各项要求进行评审”的证据，不符合《GB/T19001-2016》8.2.3条款、《与顾客有关的过程控制程序》4.2.1章节的要求</w:t>
            </w:r>
            <w:r w:rsidR="00A60039" w:rsidRPr="00A60039">
              <w:rPr>
                <w:rFonts w:asciiTheme="minorEastAsia" w:eastAsiaTheme="minorEastAsia" w:hAnsiTheme="minorEastAsia" w:cs="楷体" w:hint="eastAsia"/>
                <w:b/>
                <w:sz w:val="24"/>
                <w:szCs w:val="24"/>
              </w:rPr>
              <w:t>，开具了不符合报告。</w:t>
            </w: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a4"/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检查上述合同的交付记录，对已接受的订单基本能满足订单的交付要求。</w:t>
            </w:r>
          </w:p>
        </w:tc>
        <w:tc>
          <w:tcPr>
            <w:tcW w:w="1292" w:type="dxa"/>
          </w:tcPr>
          <w:p w:rsidR="001C68AF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</w:pPr>
          </w:p>
          <w:p w:rsidR="005625D4" w:rsidRPr="000130A2" w:rsidRDefault="005625D4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t>N</w:t>
            </w:r>
          </w:p>
        </w:tc>
      </w:tr>
      <w:tr w:rsidR="001C68AF" w:rsidRPr="000130A2" w:rsidTr="00503082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与产品有关要求的更改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jc w:val="lef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QMS：8.2.4</w:t>
            </w:r>
          </w:p>
        </w:tc>
        <w:tc>
          <w:tcPr>
            <w:tcW w:w="10490" w:type="dxa"/>
          </w:tcPr>
          <w:p w:rsidR="001C68AF" w:rsidRPr="000130A2" w:rsidRDefault="001C68AF" w:rsidP="000130A2">
            <w:pPr>
              <w:spacing w:beforeLines="50" w:before="156"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管理手册对产品和服务要求的识别和更改进行了策划和规定，供销部经理介绍到当出现产品要求/合同更改时，会重新评审并将更改情况传达至相关人员。</w:t>
            </w:r>
          </w:p>
          <w:p w:rsidR="001C68AF" w:rsidRPr="000130A2" w:rsidRDefault="001C68AF" w:rsidP="000130A2">
            <w:pPr>
              <w:pStyle w:val="Style2"/>
              <w:spacing w:line="360" w:lineRule="auto"/>
              <w:ind w:firstLine="480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>经过查阅组织内订单文件，并与综合办负责人进行沟通，组织暂无产品和订单变更的情况；</w:t>
            </w:r>
          </w:p>
          <w:p w:rsidR="001C68AF" w:rsidRPr="000130A2" w:rsidRDefault="001C68AF" w:rsidP="000130A2">
            <w:pPr>
              <w:pStyle w:val="Style2"/>
              <w:spacing w:line="360" w:lineRule="auto"/>
              <w:ind w:firstLineChars="0" w:firstLine="0"/>
              <w:rPr>
                <w:rFonts w:asciiTheme="minorEastAsia" w:eastAsiaTheme="minorEastAsia" w:hAnsiTheme="minorEastAsia" w:cs="Arial"/>
                <w:sz w:val="24"/>
                <w:szCs w:val="24"/>
                <w:lang w:eastAsia="zh-CN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  <w:lang w:eastAsia="zh-CN"/>
              </w:rPr>
              <w:t xml:space="preserve">   后续生产经营中，如出现有产品和订单要求的变更，将按照文件规定要求进行控制；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产品要求更改控制基本符合标准要求。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1C68AF" w:rsidRPr="000130A2" w:rsidTr="00F70DB4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外部提供过程、产品和服务的控制</w:t>
            </w:r>
          </w:p>
        </w:tc>
        <w:tc>
          <w:tcPr>
            <w:tcW w:w="1134" w:type="dxa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Q8.4</w:t>
            </w:r>
          </w:p>
        </w:tc>
        <w:tc>
          <w:tcPr>
            <w:tcW w:w="10490" w:type="dxa"/>
          </w:tcPr>
          <w:p w:rsidR="001C68AF" w:rsidRPr="000130A2" w:rsidRDefault="001C68AF" w:rsidP="000130A2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查见《</w:t>
            </w:r>
            <w:r w:rsidR="0041447E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采购控制程序QYZY-CX-10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》，规定了采购物资分类、供方评价与管理状况、采购信息、采购产品验证等内容。对采购的物资进行分类，并依据重要程度分别予以控制。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提供了《合格供方名录》，供应商主要有：保定三源纺织科技有限公司、</w:t>
            </w:r>
            <w:proofErr w:type="gramStart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湖州蓝翔特种</w:t>
            </w:r>
            <w:proofErr w:type="gramEnd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面料有限公司、无锡南洋拉链、大连吉田拉链、石家庄华联、烺</w:t>
            </w:r>
            <w:proofErr w:type="gramStart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星线业公司</w:t>
            </w:r>
            <w:proofErr w:type="gramEnd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等，无外包过程。</w:t>
            </w:r>
          </w:p>
          <w:p w:rsidR="001C68AF" w:rsidRPr="000130A2" w:rsidRDefault="00BF5CCB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62F50433" wp14:editId="6CAF0552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49530</wp:posOffset>
                  </wp:positionV>
                  <wp:extent cx="6220843" cy="21463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91" cy="214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查见“供方评价记录”，有供方名称、评价项目、评价结果等内容，对</w:t>
            </w:r>
            <w:r w:rsidR="00BF5CCB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以上供方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进行了调查评价，评价人郭尚萍、孙晓萍、韩福兰、白国辉等，批准郭尚萍，日期2021.</w:t>
            </w:r>
            <w:r w:rsidR="00BF5CCB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="00BF5CCB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日。</w:t>
            </w:r>
          </w:p>
          <w:p w:rsidR="001C68AF" w:rsidRPr="000130A2" w:rsidRDefault="001C68AF" w:rsidP="000130A2">
            <w:pPr>
              <w:spacing w:line="360" w:lineRule="auto"/>
              <w:ind w:firstLineChars="147" w:firstLine="35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企业在对供方进行选择和评价时，收集了企业的相关产品的说明书、检验报告、合格证等。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供销部经理介绍，根据销售产品及交付时间的需要提报采购申请，经批准后组织实施采购。</w:t>
            </w:r>
          </w:p>
          <w:p w:rsidR="0040490A" w:rsidRPr="000130A2" w:rsidRDefault="0040490A" w:rsidP="0040490A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查2021.6.24日采购合同，供方</w:t>
            </w:r>
            <w:proofErr w:type="gramStart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湖州蓝翔特种</w:t>
            </w:r>
            <w:proofErr w:type="gramEnd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面料有限公司，采购PPE专用纤维</w:t>
            </w:r>
            <w:proofErr w:type="gramStart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型仪纶</w:t>
            </w:r>
            <w:proofErr w:type="gramEnd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面料一批，采购合同明确了价格、交货期、质量要求、运输方式等要求，双方盖章。</w:t>
            </w:r>
          </w:p>
          <w:p w:rsidR="0040490A" w:rsidRPr="000130A2" w:rsidRDefault="0040490A" w:rsidP="0040490A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再查2021.7.5日采购合同，供方保定三源纺织科技有限公司，采购防静电全棉阻燃面料102米，采购合同明确了价格、交货期、质量要求、运输方式等要求，双方盖章。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查2021.8.2日采购合同，供方大连吉田拉链，采购57cm拉链100个、59.5cm拉链100个、61cm拉链150个，采购合同明确了价格、交货期、质量要求、运输方式等要求，双方盖章。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再查2021.9.3日采购合同，供方保定三源纺织科技有限公司，采购防静电CVC秋装面料229米，采购合同明确了价格、交货期、质量要求、运输方式等要求，双方盖章。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提供给外部供方的信息表述清晰、充分并经过了批准。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定期对供方产品质量、价格、交货期、服务等业绩进行统计，不合格的供方剔除，对供方提供的产品采取入库前验证的方式，验证通常采取查验产品外观、数量、性能、合格证的方式，具体详见生产技术部Q8.6审核记录表。</w:t>
            </w:r>
          </w:p>
          <w:p w:rsidR="001C68AF" w:rsidRPr="000130A2" w:rsidRDefault="001C68AF" w:rsidP="0040490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企业在供应</w:t>
            </w:r>
            <w:proofErr w:type="gramStart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商管理</w:t>
            </w:r>
            <w:proofErr w:type="gramEnd"/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方面</w:t>
            </w:r>
            <w:r w:rsidR="0040490A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基本符合要求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1C68AF" w:rsidRPr="000130A2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顾客或外部供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方财产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Q8.5.3</w:t>
            </w:r>
          </w:p>
        </w:tc>
        <w:tc>
          <w:tcPr>
            <w:tcW w:w="10490" w:type="dxa"/>
            <w:vAlign w:val="center"/>
          </w:tcPr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该公司顾客财产主要为顾客的技术要求及图纸、顾客的个人信息等，由销售人员做好顾客技术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资料保管及个人信息保密工作。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经询问了解，没有顾客个人信息泄露情况发生。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OK</w:t>
            </w:r>
          </w:p>
        </w:tc>
      </w:tr>
      <w:tr w:rsidR="001C68AF" w:rsidRPr="000130A2" w:rsidTr="00552231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交付后活动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Q8.5.5</w:t>
            </w:r>
          </w:p>
        </w:tc>
        <w:tc>
          <w:tcPr>
            <w:tcW w:w="10490" w:type="dxa"/>
            <w:vAlign w:val="center"/>
          </w:tcPr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proofErr w:type="gramStart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查销售</w:t>
            </w:r>
            <w:proofErr w:type="gramEnd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产品交付</w:t>
            </w:r>
            <w:r w:rsidR="00E3694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后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情况：产品交付</w:t>
            </w:r>
            <w:proofErr w:type="gramStart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至客户</w:t>
            </w:r>
            <w:proofErr w:type="gramEnd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处，客户签收，</w:t>
            </w:r>
            <w:r w:rsidR="00E3694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根据合同约定，如果有不合格品退换货，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公司通过电话跟踪沟通及定期拜访、客户满意度调查等方式确认交付及交付后服务的满意程度。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</w:t>
            </w:r>
            <w:proofErr w:type="gramStart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查符合</w:t>
            </w:r>
            <w:proofErr w:type="gramEnd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要求。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OK</w:t>
            </w:r>
          </w:p>
        </w:tc>
      </w:tr>
      <w:tr w:rsidR="001C68AF" w:rsidRPr="000130A2" w:rsidTr="00C00343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顾客满意度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Q9.1.2</w:t>
            </w:r>
          </w:p>
        </w:tc>
        <w:tc>
          <w:tcPr>
            <w:tcW w:w="10490" w:type="dxa"/>
            <w:vAlign w:val="center"/>
          </w:tcPr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编制了《</w:t>
            </w:r>
            <w:r w:rsidR="00DD3251"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顾客满意度调查控制程序QYZY-CX-16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》，公司主要通过调查表、专访（回访）、电话、传真等监视顾客对其要求已被满足的程度的感受信息，了解顾客满意的程度。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</w:t>
            </w:r>
            <w:r w:rsidR="0094415E">
              <w:rPr>
                <w:rFonts w:ascii="宋体" w:hAnsi="宋体" w:cs="宋体" w:hint="eastAsia"/>
                <w:color w:val="000000"/>
                <w:sz w:val="24"/>
              </w:rPr>
              <w:t>中石油管道有限责任公司银川分公司</w:t>
            </w:r>
            <w:r w:rsidR="0094415E">
              <w:rPr>
                <w:rFonts w:ascii="宋体" w:hAnsi="宋体" w:cs="宋体" w:hint="eastAsia"/>
                <w:color w:val="000000"/>
                <w:sz w:val="24"/>
              </w:rPr>
              <w:t>、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中石油管道有限责任公司西气东输分公司</w:t>
            </w:r>
            <w:r w:rsidR="0094415E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94415E">
              <w:rPr>
                <w:rFonts w:ascii="宋体" w:hAnsi="宋体" w:cs="宋体" w:hint="eastAsia"/>
                <w:color w:val="000000"/>
                <w:sz w:val="24"/>
              </w:rPr>
              <w:t>国家管网集团北方管道有限责任公司大连输油气分公司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等《顾客满意度调查表》3份。调查内容包括产品质量、价格、交期、售后服务等。从收回的调查表来看，客户对企业各调查项目比较满意。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提供《顾客满意度调查分析》，2021.</w:t>
            </w:r>
            <w:r w:rsidR="0094415E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.30日对顾客满意度调查记录表进行了分析, 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产品质量：很满意一共为：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份，满意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份；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价格比：很满意一共为：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0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份，满意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份，一般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份；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交货期：很满意一共为：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满意为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份；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售后服务：很满意一共为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份，满意为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1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份；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培训咨询：很满意一共为：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份，满意为</w:t>
            </w:r>
            <w:r w:rsidRPr="000130A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3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份；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满意度为：平均为 97分。</w:t>
            </w:r>
          </w:p>
          <w:p w:rsidR="001C68AF" w:rsidRPr="000130A2" w:rsidRDefault="001C68AF" w:rsidP="000130A2">
            <w:pPr>
              <w:spacing w:before="50"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至今没有发生顾客投诉，也没有因质量问题接到顾客反馈。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调查方式较单一，针对顾客满意信息进行了简单利用，关于满意度调查方法、数量与有关人员</w:t>
            </w: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进行了交流。</w:t>
            </w:r>
          </w:p>
          <w:p w:rsidR="001C68AF" w:rsidRPr="000130A2" w:rsidRDefault="001C68AF" w:rsidP="000130A2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对于顾客日常有关信息，对于日常每批交付中发现问题均为一般问题，及时进行了解决，未保持记录，交流改进。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现场审核时未发现顾客投诉的情形或相关资料。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lastRenderedPageBreak/>
              <w:t>OK</w:t>
            </w: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8AF" w:rsidRPr="000130A2" w:rsidTr="007B2105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环境因素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C68AF" w:rsidRPr="000130A2" w:rsidRDefault="00863D85" w:rsidP="000130A2">
            <w:pPr>
              <w:snapToGrid w:val="0"/>
              <w:spacing w:line="360" w:lineRule="auto"/>
              <w:ind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编制</w:t>
            </w:r>
            <w:r w:rsidR="001C68AF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了</w:t>
            </w:r>
            <w:r w:rsidR="00DD3251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《环境因素识别、评价和控制程序QYZY-CX-3》、《危险源辨识、风险评价和风险控制程序QYZY-CX-4》</w:t>
            </w:r>
            <w:r w:rsidR="001C68AF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C68AF" w:rsidRPr="000130A2" w:rsidRDefault="001C68AF" w:rsidP="000130A2">
            <w:pPr>
              <w:snapToGrid w:val="0"/>
              <w:spacing w:line="360" w:lineRule="auto"/>
              <w:ind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供销部按照办公过程及销售服务过程对环境因素、危险源进行了辨识，辨识时考虑了三种时态：过去、现在和将来，和三种状态：正常、异常和紧急。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查“环境因素识别/评价表”，识别了本部门在办公、采购、销售、相关方等各有关过程的环境因素，包括</w:t>
            </w:r>
            <w:r w:rsidR="00D65929">
              <w:rPr>
                <w:rFonts w:ascii="宋体" w:hAnsi="宋体" w:hint="eastAsia"/>
                <w:spacing w:val="-4"/>
                <w:w w:val="105"/>
                <w:sz w:val="24"/>
              </w:rPr>
              <w:t>水消耗</w:t>
            </w:r>
            <w:r w:rsidR="00D65929">
              <w:rPr>
                <w:rFonts w:ascii="宋体" w:hAnsi="宋体" w:hint="eastAsia"/>
                <w:spacing w:val="-4"/>
                <w:w w:val="105"/>
                <w:sz w:val="24"/>
              </w:rPr>
              <w:t>、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生活废水排放、电器电能消耗、办公垃圾排放、</w:t>
            </w:r>
            <w:r w:rsidR="00D65929">
              <w:rPr>
                <w:rFonts w:ascii="宋体" w:hAnsi="宋体" w:hint="eastAsia"/>
                <w:spacing w:val="-4"/>
                <w:w w:val="105"/>
                <w:sz w:val="24"/>
              </w:rPr>
              <w:t>生活废水排放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D65929">
              <w:rPr>
                <w:rFonts w:ascii="宋体" w:hAnsi="宋体" w:hint="eastAsia"/>
                <w:spacing w:val="-4"/>
                <w:w w:val="105"/>
                <w:sz w:val="24"/>
              </w:rPr>
              <w:t>废纸的排放</w:t>
            </w:r>
            <w:r w:rsidR="00D65929">
              <w:rPr>
                <w:rFonts w:ascii="宋体" w:hAnsi="宋体" w:hint="eastAsia"/>
                <w:spacing w:val="-4"/>
                <w:w w:val="105"/>
                <w:sz w:val="24"/>
              </w:rPr>
              <w:t>、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车辆噪声排放、车辆尾汽排放等环境因素，但是未能识别到</w:t>
            </w:r>
            <w:r w:rsidR="001C1026">
              <w:rPr>
                <w:rFonts w:ascii="宋体" w:hAnsi="宋体" w:hint="eastAsia"/>
                <w:bCs/>
                <w:color w:val="000000" w:themeColor="text1"/>
                <w:sz w:val="24"/>
              </w:rPr>
              <w:t>相关方活动及仓库管理</w:t>
            </w:r>
            <w:r w:rsidR="001C1026">
              <w:rPr>
                <w:rFonts w:ascii="宋体" w:hAnsi="宋体" w:hint="eastAsia"/>
                <w:bCs/>
                <w:color w:val="000000" w:themeColor="text1"/>
                <w:sz w:val="24"/>
              </w:rPr>
              <w:t>的环境因素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查《重要环境因素清单》，涉及本部门有2项重要环境因素，包括：火灾、固体废弃物的排放。</w:t>
            </w:r>
          </w:p>
          <w:p w:rsidR="001C68AF" w:rsidRPr="000130A2" w:rsidRDefault="001C68AF" w:rsidP="000130A2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控制措施：固废分类存放、垃圾等由综合办负责按规定处置，包装物分类卖掉，日常检查、培训教育，配备有消防器材、制定应急预案等措施。</w:t>
            </w:r>
          </w:p>
          <w:p w:rsidR="001C68AF" w:rsidRPr="000130A2" w:rsidRDefault="001C68AF" w:rsidP="00427002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查“危险源清单”，识别了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办公地点乱抛烟头</w:t>
            </w:r>
            <w:r w:rsid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电器设备金属外壳未接地</w:t>
            </w:r>
            <w:r w:rsid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电器设备漏电</w:t>
            </w:r>
            <w:r w:rsid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电源线私拉乱接</w:t>
            </w:r>
            <w:r w:rsid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操作电脑时间太久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酒后驾驶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</w:t>
            </w:r>
            <w:r w:rsidR="00427002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超速行驶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等危险源</w:t>
            </w:r>
            <w:r w:rsidR="000726F1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，但是未能识别到</w:t>
            </w:r>
            <w:r w:rsidR="000726F1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相关方活动及仓库管理的</w:t>
            </w:r>
            <w:r w:rsidR="000726F1" w:rsidRPr="0042700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1C68AF" w:rsidRPr="000130A2" w:rsidRDefault="001C68AF" w:rsidP="000130A2">
            <w:pPr>
              <w:spacing w:line="360" w:lineRule="auto"/>
              <w:ind w:firstLine="468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查《重大危险源清单》，涉及供销部的不可接受风险，包括：火灾事故、意外伤害事故等。</w:t>
            </w:r>
          </w:p>
          <w:p w:rsidR="001C68AF" w:rsidRPr="000130A2" w:rsidRDefault="001C68AF" w:rsidP="000130A2">
            <w:pPr>
              <w:spacing w:line="360" w:lineRule="auto"/>
              <w:ind w:firstLine="468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危险源控制执行管理方案、配备消防器材、个体防护、日常检查、培训教育、应急预案等运行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控制措施。</w:t>
            </w:r>
          </w:p>
          <w:p w:rsidR="001C68AF" w:rsidRPr="000130A2" w:rsidRDefault="001C68AF" w:rsidP="000130A2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部门识别和评价</w:t>
            </w:r>
            <w:r w:rsidR="009D11BE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不够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充分。</w:t>
            </w:r>
          </w:p>
          <w:p w:rsidR="001C68AF" w:rsidRPr="000130A2" w:rsidRDefault="001C68AF" w:rsidP="000130A2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lastRenderedPageBreak/>
              <w:t>OK</w:t>
            </w: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C68AF" w:rsidRPr="000130A2" w:rsidTr="002869DA">
        <w:trPr>
          <w:trHeight w:val="340"/>
          <w:jc w:val="center"/>
        </w:trPr>
        <w:tc>
          <w:tcPr>
            <w:tcW w:w="1827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EO:8.1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1.编制并实施了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《环境和职业健康安全运行程序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QYZY-CX-22》、《废弃物控制程序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QYZY-CX-13》、《节能降耗控制程序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QYZY-CX-14》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、《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与顾客有关的过程控制程序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QYZY-CX-9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采购控制程序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QYZY-CX-10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》、《对相关方施加影响控制程序</w:t>
            </w:r>
            <w:r w:rsidR="00562204" w:rsidRPr="000130A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  <w:t>QYZY-CX-12》，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环境、职业健康安全控制程序和管理制度。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2.公司通过业务洽谈或部门招标进行销售，流程是业务洽谈/招投标→合同评审→采购→检验→交付→售后。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3.公司目前销售的产品</w:t>
            </w:r>
            <w:r w:rsidRPr="000130A2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主要是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：防静电服、阻燃防护服、普通工作服等产品。以上产品全部</w:t>
            </w:r>
            <w:r w:rsidR="00537CD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经检验合格后交付</w:t>
            </w:r>
            <w:r w:rsidRPr="000130A2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4.本部门办公中所使用的办公用品均由公司综合办负责统一打印、复印，产生的废弃物，由综合办统一处理。</w:t>
            </w:r>
          </w:p>
          <w:p w:rsidR="001C68AF" w:rsidRPr="000130A2" w:rsidRDefault="001C68AF" w:rsidP="000130A2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5.对可回收的固体废弃物，一部分由厂家回收，厂家不回收的公司统一回收再利用或由物资回收公司处理，不可回收的废弃物由公司综合办统一处理，部门不单独处理。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6.</w:t>
            </w:r>
            <w:r w:rsidR="00537CDA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办公区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和仓库内主要是电的使用，电器有漏电保护器，经常对电路、电源进行检查，</w:t>
            </w:r>
            <w:proofErr w:type="gramStart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没有露电现象</w:t>
            </w:r>
            <w:proofErr w:type="gramEnd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发生。</w:t>
            </w:r>
          </w:p>
          <w:p w:rsidR="00537CDA" w:rsidRDefault="001C68AF" w:rsidP="000130A2">
            <w:pPr>
              <w:spacing w:line="360" w:lineRule="auto"/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7.提供“相关方名录”、“信息交流单”，2021.</w:t>
            </w:r>
            <w:r w:rsid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.1</w:t>
            </w:r>
            <w:r w:rsid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0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日供销部对</w:t>
            </w:r>
            <w:proofErr w:type="gramStart"/>
            <w:r w:rsidR="00296779" w:rsidRP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湖州蓝翔特种</w:t>
            </w:r>
            <w:proofErr w:type="gramEnd"/>
            <w:r w:rsidR="00296779" w:rsidRP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面料有限公司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等采购物资相关方施加影响，沟通内容:我公司已建立质量/环境/职业健康安全管理体系，现将体系相关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lastRenderedPageBreak/>
              <w:t>信息：公司质量/环境/职业健康安全方针、目标；重大环境因素和不可接受风险识别清单及管理方案告知贵公司，请贵方给予支持配合，包装袋回收并按国家相关规定处置，以支持配合我公司环境管理体系的有效运行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8.对供应商施加影响还包括在评定供应商时，获取质量、环境、职业健康安全管理体系证书则优先，产品必须用环保无毒无害材料，</w:t>
            </w:r>
            <w:proofErr w:type="gramStart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检针合格</w:t>
            </w:r>
            <w:proofErr w:type="gramEnd"/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等措施。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9.在装卸车时，要求装运人员必须穿戴劳动防护用品，合理使用搬运工具。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10.运输时选择车况较好的车辆，防止超高，超重，超宽；司机每4小时倒班作业，货物装卸时要求戴手套，轻拿轻放。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11.外出时尽量选择公共交通工具不开车，业务洽谈时避免酗酒，注意饮食卫生，注意做好疫情防控。</w:t>
            </w:r>
          </w:p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.企业为全体人员购买社保和工伤保险，查到202</w:t>
            </w:r>
            <w:r w:rsidR="002E090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年</w:t>
            </w:r>
            <w:r w:rsidR="002E0904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月份缴费证明。</w:t>
            </w:r>
          </w:p>
          <w:p w:rsidR="001C68AF" w:rsidRPr="000130A2" w:rsidRDefault="001C68AF" w:rsidP="00296779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部门运行控制</w:t>
            </w:r>
            <w:r w:rsidR="00296779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基本符合要求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lastRenderedPageBreak/>
              <w:t>OK</w:t>
            </w:r>
          </w:p>
          <w:p w:rsidR="001C68AF" w:rsidRPr="000130A2" w:rsidRDefault="001C68AF" w:rsidP="000130A2">
            <w:pPr>
              <w:pStyle w:val="2"/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t>OK</w:t>
            </w:r>
          </w:p>
          <w:p w:rsidR="001C68AF" w:rsidRPr="000130A2" w:rsidRDefault="001C68AF" w:rsidP="000130A2">
            <w:pPr>
              <w:pStyle w:val="2"/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2"/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2"/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  <w:p w:rsidR="001C68AF" w:rsidRPr="000130A2" w:rsidRDefault="001C68AF" w:rsidP="000130A2">
            <w:pPr>
              <w:pStyle w:val="2"/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</w:p>
        </w:tc>
      </w:tr>
      <w:tr w:rsidR="001C68AF" w:rsidRPr="000130A2" w:rsidTr="00D44C6B">
        <w:trPr>
          <w:trHeight w:val="340"/>
          <w:jc w:val="center"/>
        </w:trPr>
        <w:tc>
          <w:tcPr>
            <w:tcW w:w="1827" w:type="dxa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34" w:type="dxa"/>
            <w:vAlign w:val="center"/>
          </w:tcPr>
          <w:p w:rsidR="001C68AF" w:rsidRPr="000130A2" w:rsidRDefault="001C68AF" w:rsidP="000130A2">
            <w:pPr>
              <w:tabs>
                <w:tab w:val="left" w:pos="218"/>
              </w:tabs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</w:t>
            </w:r>
            <w:r w:rsidRPr="000130A2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8.2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</w:tcPr>
          <w:p w:rsidR="001C68AF" w:rsidRPr="000130A2" w:rsidRDefault="001C68AF" w:rsidP="000130A2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制定实施了《</w:t>
            </w:r>
            <w:r w:rsidR="00DD3251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应急准备和响应控制程序</w:t>
            </w:r>
            <w:r w:rsidR="00DD3251"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ab/>
              <w:t>QYZY-CX-15》，制定了火灾、触电、人员伤亡应急预案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。内容包括：目的、适用范围、职责、应急处理细则、演习、必备资料等。</w:t>
            </w:r>
          </w:p>
          <w:p w:rsidR="001C68AF" w:rsidRPr="000130A2" w:rsidRDefault="001C68AF" w:rsidP="000130A2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2021.</w:t>
            </w:r>
            <w:r w:rsidR="00071A6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11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</w:t>
            </w:r>
            <w:r w:rsidR="00071A68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23</w:t>
            </w: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日参加了由综合办组织的消防演练。</w:t>
            </w:r>
          </w:p>
          <w:p w:rsidR="001C68AF" w:rsidRPr="000130A2" w:rsidRDefault="001C68AF" w:rsidP="00296779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综合办和仓库负责人每月巡查消防设施管理和线路安全情况，发现异常及时处理，现场查看办公区和仓库配有消防器材，状态有效。</w:t>
            </w:r>
          </w:p>
        </w:tc>
        <w:tc>
          <w:tcPr>
            <w:tcW w:w="1292" w:type="dxa"/>
          </w:tcPr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spacing w:line="360" w:lineRule="auto"/>
              <w:jc w:val="center"/>
              <w:rPr>
                <w:rFonts w:asciiTheme="minorEastAsia" w:eastAsiaTheme="minorEastAsia" w:hAnsiTheme="minorEastAsia" w:cs="Arial Unicode MS"/>
                <w:sz w:val="24"/>
                <w:szCs w:val="24"/>
              </w:rPr>
            </w:pPr>
            <w:r w:rsidRPr="000130A2">
              <w:rPr>
                <w:rFonts w:asciiTheme="minorEastAsia" w:eastAsiaTheme="minorEastAsia" w:hAnsiTheme="minorEastAsia" w:cs="Arial Unicode MS" w:hint="eastAsia"/>
                <w:sz w:val="24"/>
                <w:szCs w:val="24"/>
              </w:rPr>
              <w:t>OK</w:t>
            </w: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C68AF" w:rsidRPr="000130A2" w:rsidRDefault="001C68AF" w:rsidP="000130A2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F23A0" w:rsidRPr="000130A2" w:rsidRDefault="001A7FE1" w:rsidP="00296779">
      <w:pPr>
        <w:pStyle w:val="a6"/>
        <w:spacing w:beforeLines="50" w:before="156"/>
        <w:ind w:firstLineChars="100" w:firstLine="200"/>
        <w:rPr>
          <w:rFonts w:asciiTheme="minorEastAsia" w:eastAsiaTheme="minorEastAsia" w:hAnsiTheme="minorEastAsia"/>
        </w:rPr>
      </w:pPr>
      <w:r w:rsidRPr="000130A2">
        <w:rPr>
          <w:rFonts w:asciiTheme="minorEastAsia" w:eastAsiaTheme="minorEastAsia" w:hAnsiTheme="minorEastAsia" w:hint="eastAsia"/>
          <w:sz w:val="20"/>
          <w:szCs w:val="20"/>
        </w:rPr>
        <w:t>说明：不符合标注N。</w:t>
      </w:r>
      <w:bookmarkStart w:id="1" w:name="_GoBack"/>
      <w:bookmarkEnd w:id="1"/>
    </w:p>
    <w:sectPr w:rsidR="007F23A0" w:rsidRPr="000130A2">
      <w:headerReference w:type="default" r:id="rId14"/>
      <w:footerReference w:type="default" r:id="rId15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AA" w:rsidRDefault="002C2DAA">
      <w:r>
        <w:separator/>
      </w:r>
    </w:p>
  </w:endnote>
  <w:endnote w:type="continuationSeparator" w:id="0">
    <w:p w:rsidR="002C2DAA" w:rsidRDefault="002C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7F23A0" w:rsidRDefault="001A7FE1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6779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96779">
              <w:rPr>
                <w:b/>
                <w:noProof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23A0" w:rsidRDefault="007F2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AA" w:rsidRDefault="002C2DAA">
      <w:r>
        <w:separator/>
      </w:r>
    </w:p>
  </w:footnote>
  <w:footnote w:type="continuationSeparator" w:id="0">
    <w:p w:rsidR="002C2DAA" w:rsidRDefault="002C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A0" w:rsidRDefault="001A7FE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D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620.4pt;margin-top:12.55pt;width:102.7pt;height:20.2pt;z-index:251659264;mso-position-horizontal-relative:text;mso-position-vertical-relative:text;mso-width-relative:page;mso-height-relative:page" stroked="f">
          <v:textbox>
            <w:txbxContent>
              <w:p w:rsidR="007F23A0" w:rsidRDefault="001A7F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23A0" w:rsidRDefault="001A7FE1" w:rsidP="00660506">
    <w:pPr>
      <w:pStyle w:val="a7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3126"/>
    <w:multiLevelType w:val="singleLevel"/>
    <w:tmpl w:val="01BE312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8D0B1D"/>
    <w:rsid w:val="000130A2"/>
    <w:rsid w:val="000146CD"/>
    <w:rsid w:val="00027884"/>
    <w:rsid w:val="00071A68"/>
    <w:rsid w:val="000726F1"/>
    <w:rsid w:val="000749DD"/>
    <w:rsid w:val="000E5D7D"/>
    <w:rsid w:val="001478D6"/>
    <w:rsid w:val="001A7FE1"/>
    <w:rsid w:val="001C1026"/>
    <w:rsid w:val="001C2182"/>
    <w:rsid w:val="001C3CFB"/>
    <w:rsid w:val="001C68AF"/>
    <w:rsid w:val="001E0740"/>
    <w:rsid w:val="00206A16"/>
    <w:rsid w:val="00207145"/>
    <w:rsid w:val="0024052D"/>
    <w:rsid w:val="00254DDA"/>
    <w:rsid w:val="00285568"/>
    <w:rsid w:val="00296779"/>
    <w:rsid w:val="002C2DAA"/>
    <w:rsid w:val="002E0904"/>
    <w:rsid w:val="002F39DA"/>
    <w:rsid w:val="00312B47"/>
    <w:rsid w:val="00312CFE"/>
    <w:rsid w:val="00325F89"/>
    <w:rsid w:val="00346F66"/>
    <w:rsid w:val="003F6B37"/>
    <w:rsid w:val="0040490A"/>
    <w:rsid w:val="00410B01"/>
    <w:rsid w:val="0041447E"/>
    <w:rsid w:val="00427002"/>
    <w:rsid w:val="004728A7"/>
    <w:rsid w:val="004A1A28"/>
    <w:rsid w:val="00526CEA"/>
    <w:rsid w:val="00537CDA"/>
    <w:rsid w:val="00537F58"/>
    <w:rsid w:val="00562204"/>
    <w:rsid w:val="005625D4"/>
    <w:rsid w:val="00586616"/>
    <w:rsid w:val="005927DB"/>
    <w:rsid w:val="00660506"/>
    <w:rsid w:val="006E1561"/>
    <w:rsid w:val="006F6CAB"/>
    <w:rsid w:val="00760F2F"/>
    <w:rsid w:val="007C0840"/>
    <w:rsid w:val="007D3237"/>
    <w:rsid w:val="007F23A0"/>
    <w:rsid w:val="008356F4"/>
    <w:rsid w:val="00850652"/>
    <w:rsid w:val="00857CEB"/>
    <w:rsid w:val="00863D85"/>
    <w:rsid w:val="008B73FE"/>
    <w:rsid w:val="008D0B1D"/>
    <w:rsid w:val="0092153D"/>
    <w:rsid w:val="0094415E"/>
    <w:rsid w:val="009A0E70"/>
    <w:rsid w:val="009A27EC"/>
    <w:rsid w:val="009D11BE"/>
    <w:rsid w:val="00A4487D"/>
    <w:rsid w:val="00A451D7"/>
    <w:rsid w:val="00A52030"/>
    <w:rsid w:val="00A60039"/>
    <w:rsid w:val="00A74F39"/>
    <w:rsid w:val="00A84268"/>
    <w:rsid w:val="00A84E3E"/>
    <w:rsid w:val="00AC356B"/>
    <w:rsid w:val="00AF08F8"/>
    <w:rsid w:val="00B0416A"/>
    <w:rsid w:val="00B469D7"/>
    <w:rsid w:val="00B71358"/>
    <w:rsid w:val="00B84BBD"/>
    <w:rsid w:val="00B965A0"/>
    <w:rsid w:val="00BD3913"/>
    <w:rsid w:val="00BF5CCB"/>
    <w:rsid w:val="00C12B93"/>
    <w:rsid w:val="00C17D4C"/>
    <w:rsid w:val="00C26F48"/>
    <w:rsid w:val="00CB577A"/>
    <w:rsid w:val="00CC0A5D"/>
    <w:rsid w:val="00D16FD4"/>
    <w:rsid w:val="00D22BAF"/>
    <w:rsid w:val="00D65929"/>
    <w:rsid w:val="00DB5869"/>
    <w:rsid w:val="00DB7424"/>
    <w:rsid w:val="00DC63D1"/>
    <w:rsid w:val="00DD3251"/>
    <w:rsid w:val="00DD5564"/>
    <w:rsid w:val="00DF2578"/>
    <w:rsid w:val="00E3694A"/>
    <w:rsid w:val="00E37510"/>
    <w:rsid w:val="00E65D72"/>
    <w:rsid w:val="00E6698E"/>
    <w:rsid w:val="00E81AB1"/>
    <w:rsid w:val="00EA3146"/>
    <w:rsid w:val="00ED2D95"/>
    <w:rsid w:val="00EF507F"/>
    <w:rsid w:val="00EF6E54"/>
    <w:rsid w:val="00F03370"/>
    <w:rsid w:val="00F05A0F"/>
    <w:rsid w:val="00F14368"/>
    <w:rsid w:val="00FF3FC3"/>
    <w:rsid w:val="00FF596D"/>
    <w:rsid w:val="014557C2"/>
    <w:rsid w:val="03285F3D"/>
    <w:rsid w:val="05156331"/>
    <w:rsid w:val="07D93108"/>
    <w:rsid w:val="08874912"/>
    <w:rsid w:val="0AB33B67"/>
    <w:rsid w:val="0B2873EA"/>
    <w:rsid w:val="105502AF"/>
    <w:rsid w:val="110A7E8F"/>
    <w:rsid w:val="1992280F"/>
    <w:rsid w:val="1B4F1574"/>
    <w:rsid w:val="1F72557D"/>
    <w:rsid w:val="21FC2DBE"/>
    <w:rsid w:val="25530418"/>
    <w:rsid w:val="2A2B48EA"/>
    <w:rsid w:val="2A3D0E7D"/>
    <w:rsid w:val="2D1C2FCC"/>
    <w:rsid w:val="2D830DFF"/>
    <w:rsid w:val="2FD1009E"/>
    <w:rsid w:val="32EA07F4"/>
    <w:rsid w:val="32F0099A"/>
    <w:rsid w:val="339E34FB"/>
    <w:rsid w:val="35FA5E74"/>
    <w:rsid w:val="399430AB"/>
    <w:rsid w:val="39A71043"/>
    <w:rsid w:val="39AC3B2C"/>
    <w:rsid w:val="3A6717B7"/>
    <w:rsid w:val="3AD82C28"/>
    <w:rsid w:val="3CF655E7"/>
    <w:rsid w:val="3D123AC2"/>
    <w:rsid w:val="3E660EA2"/>
    <w:rsid w:val="43992A22"/>
    <w:rsid w:val="43B27D8E"/>
    <w:rsid w:val="455B2D3E"/>
    <w:rsid w:val="46A9191C"/>
    <w:rsid w:val="4B8E0692"/>
    <w:rsid w:val="4F3124AF"/>
    <w:rsid w:val="4F895686"/>
    <w:rsid w:val="51220301"/>
    <w:rsid w:val="51802705"/>
    <w:rsid w:val="51A50197"/>
    <w:rsid w:val="524B1ADA"/>
    <w:rsid w:val="52CC1BC7"/>
    <w:rsid w:val="52E066C6"/>
    <w:rsid w:val="533407C0"/>
    <w:rsid w:val="53357614"/>
    <w:rsid w:val="547A0454"/>
    <w:rsid w:val="55C7591B"/>
    <w:rsid w:val="562433C9"/>
    <w:rsid w:val="563A55D7"/>
    <w:rsid w:val="5B5C6B06"/>
    <w:rsid w:val="5C0007E0"/>
    <w:rsid w:val="5C8523B2"/>
    <w:rsid w:val="5D746389"/>
    <w:rsid w:val="5FEB13A5"/>
    <w:rsid w:val="61A956F9"/>
    <w:rsid w:val="62F51D1A"/>
    <w:rsid w:val="650937E4"/>
    <w:rsid w:val="653B541F"/>
    <w:rsid w:val="66B930A5"/>
    <w:rsid w:val="689033C3"/>
    <w:rsid w:val="68D51CA5"/>
    <w:rsid w:val="6F0A08FB"/>
    <w:rsid w:val="7020414E"/>
    <w:rsid w:val="728E6394"/>
    <w:rsid w:val="73BF3B3D"/>
    <w:rsid w:val="75AC4080"/>
    <w:rsid w:val="76257803"/>
    <w:rsid w:val="766B0B9D"/>
    <w:rsid w:val="76B114DB"/>
    <w:rsid w:val="792A4D07"/>
    <w:rsid w:val="7A6F35D7"/>
    <w:rsid w:val="7C014456"/>
    <w:rsid w:val="7EA63C6C"/>
    <w:rsid w:val="7FEC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Plain Text"/>
    <w:basedOn w:val="a"/>
    <w:link w:val="Char"/>
    <w:qFormat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4"/>
    <w:qFormat/>
    <w:rPr>
      <w:rFonts w:ascii="宋体" w:hAnsi="Courier New"/>
      <w:kern w:val="2"/>
      <w:sz w:val="21"/>
    </w:rPr>
  </w:style>
  <w:style w:type="character" w:customStyle="1" w:styleId="2Char">
    <w:name w:val="标题 2 Char"/>
    <w:basedOn w:val="a0"/>
    <w:link w:val="2"/>
    <w:rsid w:val="009A0E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8">
    <w:name w:val="东方正文"/>
    <w:basedOn w:val="a"/>
    <w:qFormat/>
    <w:rsid w:val="009A0E70"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qFormat/>
    <w:rsid w:val="001C68AF"/>
    <w:pPr>
      <w:widowControl/>
      <w:ind w:firstLineChars="200" w:firstLine="420"/>
      <w:jc w:val="left"/>
    </w:pPr>
    <w:rPr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793</Words>
  <Characters>4526</Characters>
  <Application>Microsoft Office Word</Application>
  <DocSecurity>0</DocSecurity>
  <Lines>37</Lines>
  <Paragraphs>10</Paragraphs>
  <ScaleCrop>false</ScaleCrop>
  <Company>china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163</cp:revision>
  <dcterms:created xsi:type="dcterms:W3CDTF">2015-06-17T12:51:00Z</dcterms:created>
  <dcterms:modified xsi:type="dcterms:W3CDTF">2022-04-25T13:24:00Z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2052-11.1.0.11194</vt:lpwstr>
  </property>
</Properties>
</file>