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86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22"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98"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866" w:type="dxa"/>
            <w:vAlign w:val="center"/>
          </w:tcPr>
          <w:p>
            <w:pPr>
              <w:bidi w:val="0"/>
              <w:rPr>
                <w:rFonts w:hint="default" w:eastAsia="宋体"/>
                <w:sz w:val="21"/>
                <w:szCs w:val="21"/>
                <w:lang w:val="en-US" w:eastAsia="zh-CN"/>
              </w:rPr>
            </w:pPr>
            <w:r>
              <w:rPr>
                <w:rFonts w:hint="eastAsia"/>
              </w:rPr>
              <w:t>受审核部门：</w:t>
            </w:r>
            <w:r>
              <w:rPr>
                <w:rFonts w:hint="eastAsia"/>
                <w:lang w:val="en-US" w:eastAsia="zh-CN"/>
              </w:rPr>
              <w:t>综合部（财务）</w:t>
            </w:r>
            <w:r>
              <w:rPr>
                <w:rFonts w:hint="eastAsia"/>
                <w:lang w:eastAsia="zh-CN"/>
              </w:rPr>
              <w:t>；</w:t>
            </w:r>
            <w:r>
              <w:rPr>
                <w:rFonts w:hint="eastAsia"/>
                <w:lang w:val="en-US" w:eastAsia="zh-CN"/>
              </w:rPr>
              <w:t xml:space="preserve"> 负责人：方国成；</w:t>
            </w:r>
            <w:r>
              <w:rPr>
                <w:rFonts w:hint="eastAsia"/>
              </w:rPr>
              <w:t xml:space="preserve"> 陪同人员：</w:t>
            </w:r>
            <w:r>
              <w:rPr>
                <w:rFonts w:hint="eastAsia"/>
                <w:lang w:val="en-US" w:eastAsia="zh-CN"/>
              </w:rPr>
              <w:t>陈敏</w:t>
            </w:r>
          </w:p>
        </w:tc>
        <w:tc>
          <w:tcPr>
            <w:tcW w:w="723"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866" w:type="dxa"/>
            <w:vAlign w:val="center"/>
          </w:tcPr>
          <w:p>
            <w:pPr>
              <w:bidi w:val="0"/>
              <w:rPr>
                <w:rFonts w:hint="default" w:eastAsia="宋体"/>
                <w:sz w:val="21"/>
                <w:szCs w:val="21"/>
                <w:lang w:val="en-US" w:eastAsia="zh-CN"/>
              </w:rPr>
            </w:pPr>
            <w:r>
              <w:rPr>
                <w:rFonts w:hint="eastAsia"/>
              </w:rPr>
              <w:t>审核员：</w:t>
            </w:r>
            <w:r>
              <w:rPr>
                <w:rFonts w:hint="eastAsia"/>
                <w:lang w:val="en-US" w:eastAsia="zh-CN"/>
              </w:rPr>
              <w:t>王献华</w:t>
            </w:r>
            <w:r>
              <w:rPr>
                <w:rFonts w:hint="eastAsia"/>
                <w:lang w:eastAsia="zh-CN"/>
              </w:rPr>
              <w:t>；</w:t>
            </w:r>
            <w:r>
              <w:rPr>
                <w:rFonts w:hint="eastAsia" w:asciiTheme="minorEastAsia" w:hAnsiTheme="minorEastAsia" w:eastAsiaTheme="minorEastAsia"/>
                <w:color w:val="auto"/>
                <w:szCs w:val="21"/>
                <w:lang w:val="en-US" w:eastAsia="zh-CN"/>
              </w:rPr>
              <w:t xml:space="preserve"> </w:t>
            </w:r>
            <w:r>
              <w:rPr>
                <w:sz w:val="20"/>
                <w:lang w:val="de-DE"/>
              </w:rPr>
              <w:t>桂成奎</w:t>
            </w:r>
            <w:r>
              <w:rPr>
                <w:rFonts w:hint="eastAsia"/>
                <w:sz w:val="20"/>
                <w:lang w:val="en-US" w:eastAsia="zh-CN"/>
              </w:rPr>
              <w:t xml:space="preserve"> (专家）</w:t>
            </w:r>
            <w:r>
              <w:rPr>
                <w:rFonts w:hint="eastAsia"/>
              </w:rPr>
              <w:t>审核日期：</w:t>
            </w:r>
            <w:r>
              <w:rPr>
                <w:rFonts w:hint="eastAsia"/>
                <w:lang w:val="en-US" w:eastAsia="zh-CN"/>
              </w:rPr>
              <w:t>2022.3.19</w:t>
            </w:r>
          </w:p>
        </w:tc>
        <w:tc>
          <w:tcPr>
            <w:tcW w:w="7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866" w:type="dxa"/>
            <w:vAlign w:val="center"/>
          </w:tcPr>
          <w:p>
            <w:pPr>
              <w:bidi w:val="0"/>
              <w:rPr>
                <w:rFonts w:hint="eastAsia"/>
              </w:rPr>
            </w:pPr>
            <w:r>
              <w:rPr>
                <w:rFonts w:hint="eastAsia"/>
              </w:rPr>
              <w:t>审核条款：</w:t>
            </w:r>
          </w:p>
          <w:p>
            <w:pPr>
              <w:bidi w:val="0"/>
              <w:rPr>
                <w:rFonts w:hint="eastAsia" w:eastAsia="宋体"/>
                <w:sz w:val="21"/>
                <w:szCs w:val="21"/>
                <w:lang w:eastAsia="zh-CN"/>
              </w:rPr>
            </w:pPr>
            <w:r>
              <w:rPr>
                <w:rFonts w:hint="eastAsia"/>
              </w:rPr>
              <w:t>E</w:t>
            </w:r>
            <w:r>
              <w:rPr>
                <w:rFonts w:hint="eastAsia"/>
                <w:lang w:val="en-US" w:eastAsia="zh-CN"/>
              </w:rPr>
              <w:t>O</w:t>
            </w:r>
            <w:r>
              <w:rPr>
                <w:rFonts w:hint="eastAsia"/>
                <w:lang w:eastAsia="zh-CN"/>
              </w:rPr>
              <w:t>：</w:t>
            </w:r>
            <w:r>
              <w:rPr>
                <w:rFonts w:hint="eastAsia"/>
                <w:lang w:val="en-US" w:eastAsia="zh-CN"/>
              </w:rPr>
              <w:t>5</w:t>
            </w:r>
            <w:r>
              <w:rPr>
                <w:rFonts w:hint="eastAsia"/>
              </w:rPr>
              <w:t>.3</w:t>
            </w:r>
            <w:r>
              <w:rPr>
                <w:rFonts w:hint="eastAsia"/>
                <w:lang w:val="en-US" w:eastAsia="zh-CN"/>
              </w:rPr>
              <w:t>岗位职责和权限、6.1.2/6.1.4环境因素、危险源辨识、评价及其风险应对措施的策划、6.1.3/9.1.2合规性义务及其评价、</w:t>
            </w:r>
            <w:r>
              <w:rPr>
                <w:rFonts w:hint="eastAsia"/>
              </w:rPr>
              <w:t>6.2</w:t>
            </w:r>
            <w:r>
              <w:rPr>
                <w:rFonts w:hint="eastAsia"/>
                <w:lang w:val="en-US" w:eastAsia="zh-CN"/>
              </w:rPr>
              <w:t>目标及其实现的策划、7.2/7.3员工能力及意识、7.4沟通、7.5文件化信息、8.1运行的策划、8.2应急准备和相应、9.1.1监视、测量总则、9.2内部审核、10.2不符合、事件及其纠正措施</w:t>
            </w:r>
          </w:p>
        </w:tc>
        <w:tc>
          <w:tcPr>
            <w:tcW w:w="7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bidi w:val="0"/>
            </w:pPr>
            <w:r>
              <w:rPr>
                <w:rFonts w:hint="eastAsia"/>
              </w:rPr>
              <w:t>组织的岗位、职责和权限</w:t>
            </w:r>
          </w:p>
          <w:p>
            <w:pPr>
              <w:bidi w:val="0"/>
            </w:pPr>
          </w:p>
        </w:tc>
        <w:tc>
          <w:tcPr>
            <w:tcW w:w="998" w:type="dxa"/>
          </w:tcPr>
          <w:p>
            <w:pPr>
              <w:bidi w:val="0"/>
            </w:pPr>
            <w:r>
              <w:rPr>
                <w:rFonts w:hint="eastAsia"/>
                <w:lang w:eastAsia="zh-CN"/>
              </w:rPr>
              <w:t>EO</w:t>
            </w:r>
            <w:r>
              <w:t>5.3</w:t>
            </w:r>
          </w:p>
        </w:tc>
        <w:tc>
          <w:tcPr>
            <w:tcW w:w="10866"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综合部办公区域在组织3楼，办公人员共计3人。组织</w:t>
            </w:r>
            <w:r>
              <w:rPr>
                <w:rFonts w:hint="eastAsia" w:ascii="宋体" w:hAnsi="宋体" w:cs="宋体"/>
                <w:szCs w:val="21"/>
              </w:rPr>
              <w:t>在手册中确定了</w:t>
            </w:r>
            <w:r>
              <w:rPr>
                <w:rFonts w:hint="eastAsia" w:ascii="宋体" w:hAnsi="宋体" w:cs="宋体"/>
                <w:szCs w:val="21"/>
                <w:lang w:eastAsia="zh-CN"/>
              </w:rPr>
              <w:t>综合部</w:t>
            </w:r>
            <w:r>
              <w:rPr>
                <w:rFonts w:hint="eastAsia" w:ascii="宋体" w:hAnsi="宋体" w:cs="宋体"/>
                <w:szCs w:val="21"/>
                <w:lang w:val="en-US" w:eastAsia="zh-CN"/>
              </w:rPr>
              <w:t>的部门</w:t>
            </w:r>
            <w:r>
              <w:rPr>
                <w:rFonts w:hint="eastAsia" w:ascii="宋体" w:hAnsi="宋体" w:cs="宋体"/>
                <w:szCs w:val="21"/>
              </w:rPr>
              <w:t>职能，</w:t>
            </w:r>
            <w:r>
              <w:rPr>
                <w:rFonts w:hint="eastAsia" w:ascii="宋体" w:hAnsi="宋体" w:cs="宋体"/>
                <w:szCs w:val="21"/>
                <w:lang w:val="en-US" w:eastAsia="zh-CN"/>
              </w:rPr>
              <w:t>并在QP-JR-01《岗位职责要求》中明确主要负责人员的工作内容</w:t>
            </w:r>
            <w:r>
              <w:rPr>
                <w:rFonts w:hint="eastAsia" w:ascii="宋体" w:hAnsi="宋体" w:cs="宋体"/>
                <w:szCs w:val="21"/>
              </w:rPr>
              <w:t>。</w:t>
            </w:r>
            <w:r>
              <w:rPr>
                <w:rFonts w:hint="eastAsia" w:ascii="宋体" w:hAnsi="宋体" w:cs="宋体"/>
                <w:szCs w:val="21"/>
                <w:lang w:val="en-US" w:eastAsia="zh-CN"/>
              </w:rPr>
              <w:t>抽查行政职责如下：</w:t>
            </w:r>
          </w:p>
          <w:p>
            <w:pPr>
              <w:spacing w:line="280" w:lineRule="exact"/>
              <w:ind w:firstLine="420" w:firstLineChars="200"/>
              <w:rPr>
                <w:rFonts w:hint="eastAsia" w:ascii="宋体" w:hAnsi="宋体" w:cs="宋体"/>
                <w:szCs w:val="21"/>
              </w:rPr>
            </w:pPr>
            <w:r>
              <w:rPr>
                <w:rFonts w:hint="eastAsia" w:ascii="宋体" w:hAnsi="宋体" w:cs="宋体"/>
                <w:szCs w:val="21"/>
              </w:rPr>
              <w:t>a.熟悉有关法律法规</w:t>
            </w:r>
            <w:r>
              <w:rPr>
                <w:rFonts w:hint="eastAsia" w:ascii="宋体" w:hAnsi="宋体" w:cs="宋体"/>
                <w:szCs w:val="21"/>
                <w:lang w:val="en-US" w:eastAsia="zh-CN"/>
              </w:rPr>
              <w:t>以及</w:t>
            </w:r>
            <w:r>
              <w:rPr>
                <w:rFonts w:hint="eastAsia" w:ascii="宋体" w:hAnsi="宋体" w:cs="宋体"/>
                <w:szCs w:val="21"/>
              </w:rPr>
              <w:t>公司质量、环境和安全、目标；</w:t>
            </w:r>
          </w:p>
          <w:p>
            <w:pPr>
              <w:spacing w:line="280" w:lineRule="exact"/>
              <w:ind w:firstLine="420" w:firstLineChars="200"/>
              <w:rPr>
                <w:rFonts w:hint="eastAsia" w:ascii="宋体" w:hAnsi="宋体" w:cs="宋体"/>
                <w:szCs w:val="21"/>
              </w:rPr>
            </w:pPr>
            <w:r>
              <w:rPr>
                <w:rFonts w:hint="eastAsia" w:ascii="宋体" w:hAnsi="宋体" w:cs="宋体"/>
                <w:szCs w:val="21"/>
              </w:rPr>
              <w:t>b.熟悉了解ISO9001：2015、ISO14001:2015和ISO45001:2018国际标准；</w:t>
            </w:r>
          </w:p>
          <w:p>
            <w:pPr>
              <w:spacing w:line="280" w:lineRule="exact"/>
              <w:ind w:firstLine="420" w:firstLineChars="200"/>
              <w:rPr>
                <w:rFonts w:hint="eastAsia" w:ascii="宋体" w:hAnsi="宋体" w:cs="宋体"/>
                <w:szCs w:val="21"/>
              </w:rPr>
            </w:pPr>
            <w:r>
              <w:rPr>
                <w:rFonts w:hint="eastAsia" w:ascii="宋体" w:hAnsi="宋体" w:cs="宋体"/>
                <w:szCs w:val="21"/>
              </w:rPr>
              <w:t>c.熟悉公司的管理体系文件，具有关的专业管理知识及文档管理经验。</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综合部负责人方国成</w:t>
            </w:r>
            <w:r>
              <w:rPr>
                <w:rFonts w:hint="eastAsia" w:ascii="宋体" w:hAnsi="宋体" w:cs="宋体"/>
                <w:szCs w:val="21"/>
              </w:rPr>
              <w:t>，基本清楚本部门职责</w:t>
            </w:r>
            <w:r>
              <w:rPr>
                <w:rFonts w:hint="eastAsia" w:ascii="宋体" w:hAnsi="宋体" w:cs="宋体"/>
                <w:szCs w:val="21"/>
                <w:lang w:eastAsia="zh-CN"/>
              </w:rPr>
              <w:t>，</w:t>
            </w:r>
            <w:r>
              <w:rPr>
                <w:rFonts w:hint="eastAsia" w:ascii="宋体" w:hAnsi="宋体" w:cs="宋体"/>
                <w:szCs w:val="21"/>
                <w:lang w:val="en-US" w:eastAsia="zh-CN"/>
              </w:rPr>
              <w:t>符合要求</w:t>
            </w:r>
            <w:r>
              <w:rPr>
                <w:rFonts w:hint="eastAsia" w:ascii="宋体" w:hAnsi="宋体" w:cs="宋体"/>
                <w:szCs w:val="21"/>
              </w:rPr>
              <w:t>。</w:t>
            </w:r>
          </w:p>
        </w:tc>
        <w:tc>
          <w:tcPr>
            <w:tcW w:w="72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bidi w:val="0"/>
              <w:rPr>
                <w:rFonts w:hint="default"/>
                <w:lang w:val="en-US" w:eastAsia="zh-CN"/>
              </w:rPr>
            </w:pPr>
            <w:r>
              <w:rPr>
                <w:rFonts w:hint="eastAsia"/>
              </w:rPr>
              <w:t>环境因素</w:t>
            </w:r>
            <w:r>
              <w:rPr>
                <w:rFonts w:hint="eastAsia"/>
                <w:lang w:eastAsia="zh-CN"/>
              </w:rPr>
              <w:t>、</w:t>
            </w:r>
            <w:r>
              <w:rPr>
                <w:rFonts w:hint="eastAsia"/>
                <w:lang w:val="en-US" w:eastAsia="zh-CN"/>
              </w:rPr>
              <w:t>危险源辨识、评价及其控制措施的策划</w:t>
            </w:r>
          </w:p>
        </w:tc>
        <w:tc>
          <w:tcPr>
            <w:tcW w:w="998" w:type="dxa"/>
          </w:tcPr>
          <w:p>
            <w:pPr>
              <w:bidi w:val="0"/>
              <w:rPr>
                <w:rFonts w:hint="default"/>
                <w:lang w:val="en-US" w:eastAsia="zh-CN"/>
              </w:rPr>
            </w:pPr>
            <w:r>
              <w:rPr>
                <w:rFonts w:hint="eastAsia"/>
              </w:rPr>
              <w:t>E</w:t>
            </w:r>
            <w:r>
              <w:rPr>
                <w:rFonts w:hint="eastAsia"/>
                <w:lang w:val="en-US" w:eastAsia="zh-CN"/>
              </w:rPr>
              <w:t>O</w:t>
            </w:r>
            <w:r>
              <w:t>6.1</w:t>
            </w:r>
            <w:r>
              <w:rPr>
                <w:rFonts w:hint="eastAsia"/>
              </w:rPr>
              <w:t>.</w:t>
            </w:r>
            <w:r>
              <w:t>2</w:t>
            </w:r>
            <w:r>
              <w:rPr>
                <w:rFonts w:hint="eastAsia"/>
                <w:lang w:val="en-US" w:eastAsia="zh-CN"/>
              </w:rPr>
              <w:t>/6.1.4</w:t>
            </w:r>
          </w:p>
        </w:tc>
        <w:tc>
          <w:tcPr>
            <w:tcW w:w="10866" w:type="dxa"/>
            <w:vAlign w:val="center"/>
          </w:tcPr>
          <w:p>
            <w:pPr>
              <w:bidi w:val="0"/>
              <w:ind w:firstLine="420" w:firstLineChars="200"/>
              <w:rPr>
                <w:rFonts w:hint="eastAsia"/>
                <w:lang w:val="en-US" w:eastAsia="zh-CN"/>
              </w:rPr>
            </w:pPr>
            <w:r>
              <w:rPr>
                <w:rFonts w:hint="eastAsia"/>
                <w:lang w:val="en-US" w:eastAsia="zh-CN"/>
              </w:rPr>
              <w:t>组织根据手册第6.1.2条款、《危险源和环境因素识别、评价控制程序》要求，由综合部负责指导各部门环境因素的调查、评价、汇总、登记、审定及更新，各部门配合负责识别、评价所属范围的环境因素。</w:t>
            </w:r>
          </w:p>
          <w:p>
            <w:pPr>
              <w:bidi w:val="0"/>
              <w:ind w:firstLine="420" w:firstLineChars="200"/>
              <w:rPr>
                <w:rFonts w:hint="default"/>
                <w:lang w:val="en-US" w:eastAsia="zh-CN"/>
              </w:rPr>
            </w:pPr>
            <w:r>
              <w:rPr>
                <w:rFonts w:hint="eastAsia"/>
                <w:lang w:val="en-US" w:eastAsia="zh-CN"/>
              </w:rPr>
              <w:t>查看组织《环境因素识别、评价表》，组织在公共区域、办公场所、仓库区域、生产现场等场所，按照活动过程调查、识别和确定了环境因素及其环境影响，对环境因素的正常、异常、紧急状态进行评价，对应责任部门明确，有相应的保存期限、责任人和制定日期，基本满足环境因素识别、确定和保持要求。</w:t>
            </w:r>
          </w:p>
          <w:p>
            <w:pPr>
              <w:bidi w:val="0"/>
              <w:ind w:firstLine="420" w:firstLineChars="200"/>
              <w:rPr>
                <w:rFonts w:hint="eastAsia"/>
                <w:lang w:val="en-US" w:eastAsia="zh-CN"/>
              </w:rPr>
            </w:pPr>
            <w:r>
              <w:rPr>
                <w:rFonts w:hint="eastAsia"/>
                <w:lang w:val="en-US" w:eastAsia="zh-CN"/>
              </w:rPr>
              <w:t>组织按照《危险源和环境因素识别、评价控制程序》4.2.2准则确定了重要环境因素，抽查组织《重要环境因素清单》，组织识别的重要环境因素如下：</w:t>
            </w:r>
          </w:p>
          <w:p>
            <w:pPr>
              <w:bidi w:val="0"/>
              <w:jc w:val="both"/>
              <w:rPr>
                <w:rFonts w:hint="eastAsia"/>
                <w:lang w:val="en-US" w:eastAsia="zh-CN"/>
              </w:rPr>
            </w:pPr>
            <w:r>
              <w:drawing>
                <wp:inline distT="0" distB="0" distL="114300" distR="114300">
                  <wp:extent cx="6212840" cy="2724785"/>
                  <wp:effectExtent l="0" t="0" r="1016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6212840" cy="2724785"/>
                          </a:xfrm>
                          <a:prstGeom prst="rect">
                            <a:avLst/>
                          </a:prstGeom>
                          <a:noFill/>
                          <a:ln>
                            <a:noFill/>
                          </a:ln>
                        </pic:spPr>
                      </pic:pic>
                    </a:graphicData>
                  </a:graphic>
                </wp:inline>
              </w:drawing>
            </w:r>
          </w:p>
          <w:p>
            <w:pPr>
              <w:bidi w:val="0"/>
              <w:ind w:firstLine="420" w:firstLineChars="200"/>
              <w:rPr>
                <w:rFonts w:hint="eastAsia"/>
                <w:lang w:val="en-US" w:eastAsia="zh-CN"/>
              </w:rPr>
            </w:pPr>
            <w:r>
              <w:rPr>
                <w:rFonts w:hint="eastAsia"/>
                <w:lang w:val="en-US" w:eastAsia="zh-CN"/>
              </w:rPr>
              <w:t>重要环境因素识别、评价除在审核期间未现场发现明显噪声外，其它均与实际吻合，运行控制和应急准备分别见综合部EO8.1和EO8.2，控制措施基本能够满足控制要求。</w:t>
            </w:r>
          </w:p>
          <w:p>
            <w:pPr>
              <w:bidi w:val="0"/>
              <w:ind w:firstLine="420" w:firstLineChars="200"/>
              <w:rPr>
                <w:rFonts w:hint="eastAsia"/>
                <w:lang w:val="en-US" w:eastAsia="zh-CN"/>
              </w:rPr>
            </w:pPr>
            <w:r>
              <w:rPr>
                <w:rFonts w:hint="eastAsia"/>
                <w:lang w:val="en-US" w:eastAsia="zh-CN"/>
              </w:rPr>
              <w:t>组织根据手册第6.1.2条款、《危险源和环境因素识别、评价控制程序》要求，由综合部负责指导各部门危险源的调查、评价、汇总、登记、审定及更新，各部门配合负责识别、评价所属范围的危险源。</w:t>
            </w:r>
          </w:p>
          <w:p>
            <w:pPr>
              <w:bidi w:val="0"/>
              <w:ind w:firstLine="420" w:firstLineChars="200"/>
              <w:rPr>
                <w:rFonts w:hint="default"/>
                <w:lang w:val="en-US" w:eastAsia="zh-CN"/>
              </w:rPr>
            </w:pPr>
            <w:r>
              <w:rPr>
                <w:rFonts w:hint="eastAsia"/>
                <w:lang w:val="en-US" w:eastAsia="zh-CN"/>
              </w:rPr>
              <w:t>查看组织《职业健康安全危险源调查评价表》，组织在生产部、办公室、仓库等场所，按照活动过程调查、识别和确定了危险源及其影响，对危险源的正常、异常、紧急状态进行评价，对应责任部门明确，有相应的保存期限、责任人和制定日期，基本满足危险源识别、确定和保持要求。</w:t>
            </w:r>
          </w:p>
          <w:p>
            <w:pPr>
              <w:bidi w:val="0"/>
              <w:ind w:firstLine="420" w:firstLineChars="200"/>
              <w:rPr>
                <w:rFonts w:hint="eastAsia"/>
                <w:lang w:val="en-US" w:eastAsia="zh-CN"/>
              </w:rPr>
            </w:pPr>
            <w:r>
              <w:rPr>
                <w:rFonts w:hint="eastAsia"/>
                <w:lang w:val="en-US" w:eastAsia="zh-CN"/>
              </w:rPr>
              <w:t>组织按照《危险源和环境因素识别、评价控制程序》4.2.2准则确定了重要危险源，抽查组织《重要危险源清单》，组织识别的重要危险源如下：</w:t>
            </w:r>
          </w:p>
          <w:p>
            <w:pPr>
              <w:bidi w:val="0"/>
            </w:pPr>
            <w:r>
              <w:drawing>
                <wp:inline distT="0" distB="0" distL="114300" distR="114300">
                  <wp:extent cx="6212840" cy="2128520"/>
                  <wp:effectExtent l="0" t="0" r="10160"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6212840" cy="2128520"/>
                          </a:xfrm>
                          <a:prstGeom prst="rect">
                            <a:avLst/>
                          </a:prstGeom>
                          <a:noFill/>
                          <a:ln>
                            <a:noFill/>
                          </a:ln>
                        </pic:spPr>
                      </pic:pic>
                    </a:graphicData>
                  </a:graphic>
                </wp:inline>
              </w:drawing>
            </w:r>
          </w:p>
          <w:p>
            <w:pPr>
              <w:bidi w:val="0"/>
              <w:ind w:firstLine="420" w:firstLineChars="200"/>
              <w:rPr>
                <w:rFonts w:hint="eastAsia"/>
                <w:lang w:val="en-US" w:eastAsia="zh-CN"/>
              </w:rPr>
            </w:pPr>
            <w:r>
              <w:rPr>
                <w:rFonts w:hint="eastAsia"/>
                <w:lang w:val="en-US" w:eastAsia="zh-CN"/>
              </w:rPr>
              <w:t>重要危险源识别、评价与实际吻合，运行控制和应急准备分别见综合部EO8.1和EO8.2，控制措施基本能够满足控制要求。</w:t>
            </w:r>
          </w:p>
        </w:tc>
        <w:tc>
          <w:tcPr>
            <w:tcW w:w="72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bidi w:val="0"/>
              <w:rPr>
                <w:rFonts w:hint="default"/>
                <w:lang w:val="en-US" w:eastAsia="zh-CN"/>
              </w:rPr>
            </w:pPr>
            <w:r>
              <w:rPr>
                <w:rFonts w:hint="eastAsia"/>
                <w:lang w:val="en-US" w:eastAsia="zh-CN"/>
              </w:rPr>
              <w:t>合规义务及合规性评价</w:t>
            </w:r>
          </w:p>
        </w:tc>
        <w:tc>
          <w:tcPr>
            <w:tcW w:w="998" w:type="dxa"/>
          </w:tcPr>
          <w:p>
            <w:pPr>
              <w:bidi w:val="0"/>
              <w:rPr>
                <w:rFonts w:hint="default"/>
                <w:lang w:val="en-US" w:eastAsia="zh-CN"/>
              </w:rPr>
            </w:pPr>
            <w:r>
              <w:rPr>
                <w:rFonts w:hint="eastAsia"/>
                <w:lang w:val="en-US" w:eastAsia="zh-CN"/>
              </w:rPr>
              <w:t>EO6.1.3/9.1.2</w:t>
            </w:r>
          </w:p>
        </w:tc>
        <w:tc>
          <w:tcPr>
            <w:tcW w:w="10866" w:type="dxa"/>
            <w:vAlign w:val="center"/>
          </w:tcPr>
          <w:p>
            <w:pPr>
              <w:bidi w:val="0"/>
              <w:ind w:firstLine="420" w:firstLineChars="200"/>
              <w:rPr>
                <w:rFonts w:hint="eastAsia"/>
                <w:lang w:val="en-US" w:eastAsia="zh-CN"/>
              </w:rPr>
            </w:pPr>
            <w:r>
              <w:rPr>
                <w:rFonts w:hint="eastAsia"/>
                <w:lang w:val="en-US" w:eastAsia="zh-CN"/>
              </w:rPr>
              <w:t>与综合部方国成访谈时了解到，组织收集法律法规和其他要求的渠道包括专门网站、主管机构等，抽查的EO相关法律法规如下：</w:t>
            </w:r>
          </w:p>
          <w:p>
            <w:pPr>
              <w:bidi w:val="0"/>
              <w:ind w:firstLine="420" w:firstLineChars="200"/>
              <w:rPr>
                <w:rFonts w:hint="eastAsia"/>
                <w:lang w:val="en-US" w:eastAsia="zh-CN"/>
              </w:rPr>
            </w:pPr>
            <w:r>
              <w:rPr>
                <w:rFonts w:hint="eastAsia"/>
                <w:lang w:val="en-US" w:eastAsia="zh-CN"/>
              </w:rPr>
              <w:t>组织识别的法律法规内容基本完整，见《法律法规和其他要求以及合规义务清单》：编制：包晓春；编制日期：2021年8月6日，基本满足识别和控制要求。</w:t>
            </w:r>
          </w:p>
          <w:p>
            <w:pPr>
              <w:bidi w:val="0"/>
              <w:ind w:firstLine="420" w:firstLineChars="200"/>
              <w:rPr>
                <w:rFonts w:hint="eastAsia"/>
              </w:rPr>
            </w:pPr>
            <w:r>
              <w:rPr>
                <w:rFonts w:hint="eastAsia"/>
                <w:lang w:val="en-US" w:eastAsia="zh-CN"/>
              </w:rPr>
              <w:t>组织按照《合规性评价控制程序》进行合规性评价过程控制，提供OE合规性评价记录和合规性评价报告：</w:t>
            </w:r>
            <w:bookmarkStart w:id="0" w:name="_Hlk79785180"/>
            <w:r>
              <w:rPr>
                <w:rFonts w:hint="eastAsia"/>
                <w:lang w:val="en-US" w:eastAsia="zh-CN"/>
              </w:rPr>
              <w:t>EO评价记录显示，组织适用的法律法规要求均进行了符合性检查评价，评价人：</w:t>
            </w:r>
            <w:bookmarkStart w:id="1" w:name="_Hlk84548846"/>
            <w:bookmarkStart w:id="2" w:name="_Hlk84548867"/>
            <w:r>
              <w:rPr>
                <w:rFonts w:hint="eastAsia"/>
                <w:lang w:val="en-US" w:eastAsia="zh-CN"/>
              </w:rPr>
              <w:t>方国成、陈胜华；评价时间：2021.12.1</w:t>
            </w:r>
            <w:bookmarkEnd w:id="1"/>
            <w:r>
              <w:rPr>
                <w:rFonts w:hint="eastAsia"/>
                <w:lang w:val="en-US" w:eastAsia="zh-CN"/>
              </w:rPr>
              <w:t>5</w:t>
            </w:r>
            <w:bookmarkEnd w:id="0"/>
            <w:bookmarkEnd w:id="2"/>
            <w:r>
              <w:rPr>
                <w:rFonts w:hint="eastAsia"/>
                <w:lang w:val="en-US" w:eastAsia="zh-CN"/>
              </w:rPr>
              <w:t>。EO评价记录显示：组织基本能严格遵守法律法规和其它相关的要求。</w:t>
            </w:r>
          </w:p>
        </w:tc>
        <w:tc>
          <w:tcPr>
            <w:tcW w:w="72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7" w:hRule="atLeast"/>
        </w:trPr>
        <w:tc>
          <w:tcPr>
            <w:tcW w:w="2122" w:type="dxa"/>
          </w:tcPr>
          <w:p>
            <w:pPr>
              <w:spacing w:line="280" w:lineRule="exact"/>
              <w:rPr>
                <w:rFonts w:ascii="宋体" w:hAnsi="宋体" w:cs="宋体"/>
                <w:color w:val="auto"/>
                <w:szCs w:val="21"/>
                <w:highlight w:val="none"/>
              </w:rPr>
            </w:pPr>
            <w:r>
              <w:rPr>
                <w:rFonts w:hint="eastAsia" w:ascii="宋体" w:hAnsi="宋体" w:cs="宋体"/>
                <w:color w:val="auto"/>
                <w:szCs w:val="21"/>
                <w:highlight w:val="none"/>
              </w:rPr>
              <w:t>目标及其实现的策划</w:t>
            </w:r>
          </w:p>
          <w:p>
            <w:pPr>
              <w:spacing w:line="280" w:lineRule="exact"/>
              <w:rPr>
                <w:rFonts w:ascii="宋体" w:hAnsi="宋体" w:cs="宋体"/>
                <w:color w:val="auto"/>
                <w:szCs w:val="21"/>
                <w:highlight w:val="none"/>
              </w:rPr>
            </w:pPr>
          </w:p>
        </w:tc>
        <w:tc>
          <w:tcPr>
            <w:tcW w:w="998" w:type="dxa"/>
          </w:tcPr>
          <w:p>
            <w:pPr>
              <w:spacing w:line="280" w:lineRule="exact"/>
              <w:rPr>
                <w:color w:val="auto"/>
                <w:szCs w:val="21"/>
                <w:highlight w:val="none"/>
              </w:rPr>
            </w:pPr>
            <w:r>
              <w:rPr>
                <w:rFonts w:hint="eastAsia"/>
                <w:color w:val="auto"/>
                <w:szCs w:val="21"/>
                <w:highlight w:val="none"/>
                <w:lang w:eastAsia="zh-CN"/>
              </w:rPr>
              <w:t>EO</w:t>
            </w:r>
            <w:r>
              <w:rPr>
                <w:rFonts w:hint="eastAsia"/>
                <w:color w:val="auto"/>
                <w:szCs w:val="21"/>
                <w:highlight w:val="none"/>
              </w:rPr>
              <w:t>6.2</w:t>
            </w:r>
          </w:p>
        </w:tc>
        <w:tc>
          <w:tcPr>
            <w:tcW w:w="10866" w:type="dxa"/>
            <w:vAlign w:val="center"/>
          </w:tcPr>
          <w:p>
            <w:pPr>
              <w:bidi w:val="0"/>
              <w:ind w:firstLine="420" w:firstLineChars="200"/>
              <w:rPr>
                <w:rFonts w:hint="eastAsia"/>
                <w:lang w:val="en-US" w:eastAsia="zh-CN"/>
              </w:rPr>
            </w:pPr>
            <w:r>
              <w:rPr>
                <w:rFonts w:hint="eastAsia"/>
                <w:lang w:val="en-US" w:eastAsia="zh-CN"/>
              </w:rPr>
              <w:t>组织对管理体系所需的相关职能、层次和过程设定了管理目标。内容包括</w:t>
            </w:r>
            <w:bookmarkStart w:id="3" w:name="OLE_LINK16"/>
            <w:r>
              <w:rPr>
                <w:rFonts w:hint="eastAsia"/>
                <w:lang w:val="en-US" w:eastAsia="zh-CN"/>
              </w:rPr>
              <w:t>：1.环境目标：固体废弃物实现分类收集、分类处置；2.</w:t>
            </w:r>
            <w:bookmarkEnd w:id="3"/>
            <w:r>
              <w:rPr>
                <w:rFonts w:hint="eastAsia"/>
                <w:lang w:val="en-US" w:eastAsia="zh-CN"/>
              </w:rPr>
              <w:t>职业健康和安全目标：1) 无安全事故发生；2) 无传染病发生。</w:t>
            </w:r>
          </w:p>
          <w:p>
            <w:pPr>
              <w:spacing w:line="280" w:lineRule="exact"/>
              <w:ind w:firstLine="420" w:firstLineChars="200"/>
              <w:rPr>
                <w:rFonts w:hint="default" w:eastAsia="宋体"/>
                <w:lang w:val="en-US" w:eastAsia="zh-CN"/>
              </w:rPr>
            </w:pPr>
            <w:r>
              <w:rPr>
                <w:rFonts w:hint="eastAsia"/>
                <w:lang w:val="en-US" w:eastAsia="zh-CN"/>
              </w:rPr>
              <w:t>抽查综合部的目标分解和实施情况如下：</w:t>
            </w:r>
          </w:p>
          <w:p>
            <w:pPr>
              <w:spacing w:line="280" w:lineRule="exact"/>
              <w:ind w:firstLine="420" w:firstLineChars="200"/>
            </w:pPr>
            <w:r>
              <w:drawing>
                <wp:anchor distT="0" distB="0" distL="114300" distR="114300" simplePos="0" relativeHeight="251660288" behindDoc="0" locked="0" layoutInCell="1" allowOverlap="1">
                  <wp:simplePos x="0" y="0"/>
                  <wp:positionH relativeFrom="column">
                    <wp:posOffset>40005</wp:posOffset>
                  </wp:positionH>
                  <wp:positionV relativeFrom="paragraph">
                    <wp:posOffset>46990</wp:posOffset>
                  </wp:positionV>
                  <wp:extent cx="6211570" cy="2286635"/>
                  <wp:effectExtent l="0" t="0" r="11430" b="12065"/>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6211570" cy="2286635"/>
                          </a:xfrm>
                          <a:prstGeom prst="rect">
                            <a:avLst/>
                          </a:prstGeom>
                          <a:noFill/>
                          <a:ln>
                            <a:noFill/>
                          </a:ln>
                        </pic:spPr>
                      </pic:pic>
                    </a:graphicData>
                  </a:graphic>
                </wp:anchor>
              </w:drawing>
            </w:r>
            <w:r>
              <w:rPr>
                <w:rFonts w:hint="eastAsia"/>
                <w:lang w:val="en-US" w:eastAsia="zh-CN"/>
              </w:rPr>
              <w:t>目标可测量，与组织管理方针一致。有实施落实的方案、责任人和监视记录， 抽查2021年10月—2022年2月统计结果，目标均已完成，符合要求。</w:t>
            </w:r>
          </w:p>
        </w:tc>
        <w:tc>
          <w:tcPr>
            <w:tcW w:w="72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vMerge w:val="restart"/>
          </w:tcPr>
          <w:p>
            <w:pPr>
              <w:bidi w:val="0"/>
            </w:pPr>
            <w:r>
              <w:rPr>
                <w:rFonts w:hint="eastAsia"/>
                <w:lang w:val="en-US" w:eastAsia="zh-CN"/>
              </w:rPr>
              <w:t>人员</w:t>
            </w:r>
            <w:r>
              <w:rPr>
                <w:rFonts w:hint="eastAsia"/>
              </w:rPr>
              <w:t>能力</w:t>
            </w:r>
            <w:r>
              <w:rPr>
                <w:rFonts w:hint="eastAsia"/>
                <w:lang w:val="en-US" w:eastAsia="zh-CN"/>
              </w:rPr>
              <w:t>和意识</w:t>
            </w:r>
          </w:p>
        </w:tc>
        <w:tc>
          <w:tcPr>
            <w:tcW w:w="998" w:type="dxa"/>
            <w:vMerge w:val="restart"/>
          </w:tcPr>
          <w:p>
            <w:pPr>
              <w:bidi w:val="0"/>
              <w:rPr>
                <w:rFonts w:hint="default" w:eastAsia="华文细黑"/>
                <w:lang w:val="en-US" w:eastAsia="zh-CN"/>
              </w:rPr>
            </w:pPr>
            <w:r>
              <w:rPr>
                <w:rFonts w:hint="eastAsia"/>
                <w:lang w:eastAsia="zh-CN"/>
              </w:rPr>
              <w:t>EO</w:t>
            </w:r>
            <w:r>
              <w:rPr>
                <w:rFonts w:hint="eastAsia"/>
              </w:rPr>
              <w:t>7.2</w:t>
            </w:r>
            <w:r>
              <w:rPr>
                <w:rFonts w:hint="eastAsia"/>
                <w:lang w:val="en-US" w:eastAsia="zh-CN"/>
              </w:rPr>
              <w:t>/7.3</w:t>
            </w:r>
          </w:p>
          <w:p>
            <w:pPr>
              <w:bidi w:val="0"/>
            </w:pPr>
          </w:p>
        </w:tc>
        <w:tc>
          <w:tcPr>
            <w:tcW w:w="10866" w:type="dxa"/>
            <w:vAlign w:val="center"/>
          </w:tcPr>
          <w:p>
            <w:pPr>
              <w:bidi w:val="0"/>
              <w:ind w:firstLine="420" w:firstLineChars="200"/>
              <w:rPr>
                <w:rFonts w:hint="eastAsia"/>
                <w:lang w:val="en-US" w:eastAsia="zh-CN"/>
              </w:rPr>
            </w:pPr>
            <w:r>
              <w:rPr>
                <w:rFonts w:hint="eastAsia"/>
                <w:lang w:val="en-US" w:eastAsia="zh-CN"/>
              </w:rPr>
              <w:t>组织员工共43人，其中管理人员10人，工人33人，人员基本能够满足配备需求。</w:t>
            </w:r>
          </w:p>
          <w:p>
            <w:pPr>
              <w:spacing w:line="280" w:lineRule="exact"/>
              <w:ind w:firstLine="420" w:firstLineChars="200"/>
              <w:rPr>
                <w:rFonts w:hint="default"/>
                <w:lang w:val="en-US" w:eastAsia="zh-CN"/>
              </w:rPr>
            </w:pPr>
            <w:r>
              <w:rPr>
                <w:rFonts w:hint="eastAsia"/>
                <w:lang w:val="en-US" w:eastAsia="zh-CN"/>
              </w:rPr>
              <w:t>组织对各岗位能力规定的要求包括了学历、技能、岗位、经验等。查看《岗位能力评价表》，要求主要对各部门负责人及关键岗位能力要求分别从上述方面进行了评价，基本符合能力确定的控制要求。</w:t>
            </w:r>
          </w:p>
          <w:p>
            <w:pPr>
              <w:spacing w:line="280" w:lineRule="exact"/>
              <w:ind w:firstLine="420" w:firstLineChars="200"/>
              <w:rPr>
                <w:rFonts w:hint="default"/>
                <w:lang w:val="en-US" w:eastAsia="zh-CN"/>
              </w:rPr>
            </w:pPr>
            <w:r>
              <w:rPr>
                <w:rFonts w:hint="eastAsia"/>
                <w:lang w:val="en-US" w:eastAsia="zh-CN"/>
              </w:rPr>
              <w:t>抽查培训计划和培训实施记录如下：</w:t>
            </w:r>
          </w:p>
          <w:tbl>
            <w:tblPr>
              <w:tblStyle w:val="8"/>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751"/>
              <w:gridCol w:w="2248"/>
              <w:gridCol w:w="173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tcPr>
                <w:p>
                  <w:pPr>
                    <w:spacing w:line="280" w:lineRule="exact"/>
                    <w:rPr>
                      <w:rFonts w:hint="eastAsia"/>
                      <w:lang w:val="en-US" w:eastAsia="zh-CN"/>
                    </w:rPr>
                  </w:pPr>
                  <w:r>
                    <w:rPr>
                      <w:rFonts w:hint="eastAsia"/>
                      <w:lang w:val="en-US" w:eastAsia="zh-CN"/>
                    </w:rPr>
                    <w:t>计划培训日期</w:t>
                  </w:r>
                </w:p>
                <w:p>
                  <w:pPr>
                    <w:spacing w:line="280" w:lineRule="exact"/>
                    <w:rPr>
                      <w:rFonts w:hint="default"/>
                      <w:lang w:val="en-US" w:eastAsia="zh-CN"/>
                    </w:rPr>
                  </w:pPr>
                  <w:r>
                    <w:rPr>
                      <w:rFonts w:hint="eastAsia"/>
                      <w:lang w:val="en-US" w:eastAsia="zh-CN"/>
                    </w:rPr>
                    <w:t>/培训实施日期</w:t>
                  </w:r>
                </w:p>
              </w:tc>
              <w:tc>
                <w:tcPr>
                  <w:tcW w:w="1751" w:type="dxa"/>
                </w:tcPr>
                <w:p>
                  <w:pPr>
                    <w:spacing w:line="280" w:lineRule="exact"/>
                    <w:rPr>
                      <w:rFonts w:hint="eastAsia"/>
                      <w:lang w:val="en-US" w:eastAsia="zh-CN"/>
                    </w:rPr>
                  </w:pPr>
                  <w:r>
                    <w:rPr>
                      <w:rFonts w:hint="eastAsia"/>
                      <w:lang w:val="en-US" w:eastAsia="zh-CN"/>
                    </w:rPr>
                    <w:t>培训记录内容</w:t>
                  </w:r>
                </w:p>
              </w:tc>
              <w:tc>
                <w:tcPr>
                  <w:tcW w:w="2248" w:type="dxa"/>
                </w:tcPr>
                <w:p>
                  <w:pPr>
                    <w:spacing w:line="280" w:lineRule="exact"/>
                    <w:rPr>
                      <w:rFonts w:hint="default"/>
                      <w:lang w:val="en-US" w:eastAsia="zh-CN"/>
                    </w:rPr>
                  </w:pPr>
                  <w:r>
                    <w:rPr>
                      <w:rFonts w:hint="eastAsia"/>
                      <w:lang w:val="en-US" w:eastAsia="zh-CN"/>
                    </w:rPr>
                    <w:t>参加人员情况</w:t>
                  </w:r>
                </w:p>
              </w:tc>
              <w:tc>
                <w:tcPr>
                  <w:tcW w:w="1739" w:type="dxa"/>
                </w:tcPr>
                <w:p>
                  <w:pPr>
                    <w:spacing w:line="280" w:lineRule="exact"/>
                    <w:rPr>
                      <w:rFonts w:hint="default"/>
                      <w:lang w:val="en-US" w:eastAsia="zh-CN"/>
                    </w:rPr>
                  </w:pPr>
                  <w:r>
                    <w:rPr>
                      <w:rFonts w:hint="eastAsia"/>
                      <w:lang w:val="en-US" w:eastAsia="zh-CN"/>
                    </w:rPr>
                    <w:t>评价方式</w:t>
                  </w:r>
                </w:p>
              </w:tc>
              <w:tc>
                <w:tcPr>
                  <w:tcW w:w="1834" w:type="dxa"/>
                  <w:vAlign w:val="top"/>
                </w:tcPr>
                <w:p>
                  <w:pPr>
                    <w:spacing w:line="280" w:lineRule="exact"/>
                    <w:rPr>
                      <w:rFonts w:hint="eastAsia"/>
                      <w:lang w:val="en-US" w:eastAsia="zh-CN"/>
                    </w:rPr>
                  </w:pPr>
                  <w:r>
                    <w:rPr>
                      <w:rFonts w:hint="eastAsia"/>
                      <w:lang w:val="en-US" w:eastAsia="zh-CN"/>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280" w:lineRule="exact"/>
                    <w:jc w:val="left"/>
                    <w:rPr>
                      <w:rFonts w:hint="default"/>
                      <w:lang w:val="en-US" w:eastAsia="zh-CN"/>
                    </w:rPr>
                  </w:pPr>
                  <w:r>
                    <w:rPr>
                      <w:rFonts w:hint="eastAsia"/>
                      <w:lang w:val="en-US" w:eastAsia="zh-CN"/>
                    </w:rPr>
                    <w:t>2021年9月/2021年9月12日</w:t>
                  </w:r>
                </w:p>
              </w:tc>
              <w:tc>
                <w:tcPr>
                  <w:tcW w:w="1751" w:type="dxa"/>
                  <w:vAlign w:val="center"/>
                </w:tcPr>
                <w:p>
                  <w:pPr>
                    <w:spacing w:line="280" w:lineRule="exact"/>
                    <w:jc w:val="left"/>
                    <w:rPr>
                      <w:rFonts w:hint="default"/>
                      <w:lang w:val="en-US" w:eastAsia="zh-CN"/>
                    </w:rPr>
                  </w:pPr>
                  <w:r>
                    <w:rPr>
                      <w:rFonts w:hint="eastAsia"/>
                      <w:lang w:val="en-US" w:eastAsia="zh-CN"/>
                    </w:rPr>
                    <w:t>ISO9001、ISO14001培训ISO45001标准培训</w:t>
                  </w:r>
                </w:p>
              </w:tc>
              <w:tc>
                <w:tcPr>
                  <w:tcW w:w="2248" w:type="dxa"/>
                  <w:vAlign w:val="center"/>
                </w:tcPr>
                <w:p>
                  <w:pPr>
                    <w:spacing w:line="280" w:lineRule="exact"/>
                    <w:rPr>
                      <w:rFonts w:hint="default"/>
                      <w:lang w:val="en-US" w:eastAsia="zh-CN"/>
                    </w:rPr>
                  </w:pPr>
                  <w:r>
                    <w:rPr>
                      <w:rFonts w:hint="eastAsia"/>
                      <w:lang w:val="en-US" w:eastAsia="zh-CN"/>
                    </w:rPr>
                    <w:t>各部门主管人员</w:t>
                  </w:r>
                </w:p>
              </w:tc>
              <w:tc>
                <w:tcPr>
                  <w:tcW w:w="1739" w:type="dxa"/>
                  <w:vAlign w:val="center"/>
                </w:tcPr>
                <w:p>
                  <w:pPr>
                    <w:spacing w:line="280" w:lineRule="exact"/>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spacing w:line="280" w:lineRule="exact"/>
                    <w:rPr>
                      <w:rFonts w:hint="eastAsia"/>
                      <w:lang w:val="en-US" w:eastAsia="zh-CN"/>
                    </w:rPr>
                  </w:pPr>
                  <w:r>
                    <w:rPr>
                      <w:rFonts w:hint="eastAsia"/>
                      <w:lang w:val="en-US" w:eastAsia="zh-CN"/>
                    </w:rPr>
                    <w:sym w:font="Wingdings 2" w:char="0052"/>
                  </w:r>
                  <w:r>
                    <w:rPr>
                      <w:rFonts w:hint="eastAsia"/>
                      <w:lang w:val="en-US" w:eastAsia="zh-C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280" w:lineRule="exact"/>
                    <w:jc w:val="left"/>
                    <w:rPr>
                      <w:rFonts w:hint="default"/>
                      <w:lang w:val="en-US" w:eastAsia="zh-CN"/>
                    </w:rPr>
                  </w:pPr>
                  <w:r>
                    <w:rPr>
                      <w:rFonts w:hint="eastAsia"/>
                      <w:lang w:val="en-US" w:eastAsia="zh-CN"/>
                    </w:rPr>
                    <w:t>2021年9月/2021年9月25日</w:t>
                  </w:r>
                </w:p>
              </w:tc>
              <w:tc>
                <w:tcPr>
                  <w:tcW w:w="1751" w:type="dxa"/>
                  <w:vAlign w:val="center"/>
                </w:tcPr>
                <w:p>
                  <w:pPr>
                    <w:spacing w:line="280" w:lineRule="exact"/>
                    <w:rPr>
                      <w:rFonts w:hint="eastAsia"/>
                      <w:lang w:val="en-US" w:eastAsia="zh-CN"/>
                    </w:rPr>
                  </w:pPr>
                  <w:r>
                    <w:rPr>
                      <w:rFonts w:hint="eastAsia"/>
                      <w:lang w:val="en-US" w:eastAsia="zh-CN"/>
                    </w:rPr>
                    <w:t>法律法规、环境因素识别、</w:t>
                  </w:r>
                </w:p>
                <w:p>
                  <w:pPr>
                    <w:spacing w:line="280" w:lineRule="exact"/>
                    <w:rPr>
                      <w:rFonts w:hint="default"/>
                      <w:lang w:val="en-US" w:eastAsia="zh-CN"/>
                    </w:rPr>
                  </w:pPr>
                  <w:r>
                    <w:rPr>
                      <w:rFonts w:hint="eastAsia"/>
                      <w:lang w:val="en-US" w:eastAsia="zh-CN"/>
                    </w:rPr>
                    <w:t>危险源辨别培训</w:t>
                  </w:r>
                </w:p>
              </w:tc>
              <w:tc>
                <w:tcPr>
                  <w:tcW w:w="2248" w:type="dxa"/>
                  <w:vAlign w:val="center"/>
                </w:tcPr>
                <w:p>
                  <w:pPr>
                    <w:spacing w:line="280" w:lineRule="exact"/>
                    <w:rPr>
                      <w:rFonts w:hint="default"/>
                      <w:lang w:val="en-US" w:eastAsia="zh-CN"/>
                    </w:rPr>
                  </w:pPr>
                  <w:r>
                    <w:rPr>
                      <w:rFonts w:hint="eastAsia"/>
                      <w:lang w:val="en-US" w:eastAsia="zh-CN"/>
                    </w:rPr>
                    <w:t>各部门主管人员</w:t>
                  </w:r>
                </w:p>
              </w:tc>
              <w:tc>
                <w:tcPr>
                  <w:tcW w:w="1739" w:type="dxa"/>
                  <w:vAlign w:val="center"/>
                </w:tcPr>
                <w:p>
                  <w:pPr>
                    <w:spacing w:line="280" w:lineRule="exact"/>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spacing w:line="280" w:lineRule="exact"/>
                    <w:rPr>
                      <w:rFonts w:hint="eastAsia"/>
                      <w:lang w:val="en-US" w:eastAsia="zh-CN"/>
                    </w:rPr>
                  </w:pPr>
                  <w:r>
                    <w:rPr>
                      <w:rFonts w:hint="eastAsia"/>
                      <w:lang w:val="en-US" w:eastAsia="zh-CN"/>
                    </w:rPr>
                    <w:sym w:font="Wingdings 2" w:char="0052"/>
                  </w:r>
                  <w:r>
                    <w:rPr>
                      <w:rFonts w:hint="eastAsia"/>
                      <w:lang w:val="en-US" w:eastAsia="zh-CN"/>
                    </w:rPr>
                    <w:t xml:space="preserve">有效  </w:t>
                  </w:r>
                  <w:r>
                    <w:rPr>
                      <w:rFonts w:hint="eastAsia"/>
                      <w:lang w:val="en-US" w:eastAsia="zh-CN"/>
                    </w:rPr>
                    <w:sym w:font="Wingdings 2" w:char="00A3"/>
                  </w:r>
                  <w:r>
                    <w:rPr>
                      <w:rFonts w:hint="eastAsia"/>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280" w:lineRule="exact"/>
                    <w:jc w:val="left"/>
                    <w:rPr>
                      <w:rFonts w:hint="default"/>
                      <w:lang w:val="en-US" w:eastAsia="zh-CN"/>
                    </w:rPr>
                  </w:pPr>
                  <w:r>
                    <w:rPr>
                      <w:rFonts w:hint="eastAsia"/>
                      <w:lang w:val="en-US" w:eastAsia="zh-CN"/>
                    </w:rPr>
                    <w:t>2021年10月/2021年10月15日</w:t>
                  </w:r>
                </w:p>
              </w:tc>
              <w:tc>
                <w:tcPr>
                  <w:tcW w:w="1751" w:type="dxa"/>
                  <w:vAlign w:val="center"/>
                </w:tcPr>
                <w:p>
                  <w:pPr>
                    <w:spacing w:line="280" w:lineRule="exact"/>
                    <w:rPr>
                      <w:rFonts w:hint="eastAsia"/>
                      <w:lang w:val="en-US" w:eastAsia="zh-CN"/>
                    </w:rPr>
                  </w:pPr>
                  <w:r>
                    <w:rPr>
                      <w:rFonts w:hint="eastAsia"/>
                      <w:lang w:val="en-US" w:eastAsia="zh-CN"/>
                    </w:rPr>
                    <w:t>质量/环境、职业健康安全管理</w:t>
                  </w:r>
                </w:p>
                <w:p>
                  <w:pPr>
                    <w:spacing w:line="280" w:lineRule="exact"/>
                    <w:rPr>
                      <w:rFonts w:hint="default"/>
                      <w:lang w:val="en-US" w:eastAsia="zh-CN"/>
                    </w:rPr>
                  </w:pPr>
                  <w:r>
                    <w:rPr>
                      <w:rFonts w:hint="eastAsia"/>
                      <w:lang w:val="en-US" w:eastAsia="zh-CN"/>
                    </w:rPr>
                    <w:t>方针、目标及管理方案培训</w:t>
                  </w:r>
                </w:p>
              </w:tc>
              <w:tc>
                <w:tcPr>
                  <w:tcW w:w="2248" w:type="dxa"/>
                  <w:vAlign w:val="center"/>
                </w:tcPr>
                <w:p>
                  <w:pPr>
                    <w:spacing w:line="280" w:lineRule="exact"/>
                    <w:rPr>
                      <w:rFonts w:hint="default"/>
                      <w:lang w:val="en-US" w:eastAsia="zh-CN"/>
                    </w:rPr>
                  </w:pPr>
                  <w:r>
                    <w:rPr>
                      <w:rFonts w:hint="eastAsia"/>
                      <w:lang w:val="en-US" w:eastAsia="zh-CN"/>
                    </w:rPr>
                    <w:t>各部门主管人员</w:t>
                  </w:r>
                </w:p>
              </w:tc>
              <w:tc>
                <w:tcPr>
                  <w:tcW w:w="1739" w:type="dxa"/>
                  <w:vAlign w:val="center"/>
                </w:tcPr>
                <w:p>
                  <w:pPr>
                    <w:spacing w:line="280" w:lineRule="exact"/>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spacing w:line="280" w:lineRule="exact"/>
                    <w:rPr>
                      <w:rFonts w:hint="eastAsia"/>
                      <w:lang w:val="en-US" w:eastAsia="zh-CN"/>
                    </w:rPr>
                  </w:pPr>
                  <w:r>
                    <w:rPr>
                      <w:rFonts w:hint="eastAsia"/>
                      <w:lang w:val="en-US" w:eastAsia="zh-CN"/>
                    </w:rPr>
                    <w:sym w:font="Wingdings 2" w:char="0052"/>
                  </w:r>
                  <w:r>
                    <w:rPr>
                      <w:rFonts w:hint="eastAsia"/>
                      <w:lang w:val="en-US" w:eastAsia="zh-CN"/>
                    </w:rPr>
                    <w:t>有效  □不足</w:t>
                  </w:r>
                </w:p>
              </w:tc>
            </w:tr>
          </w:tbl>
          <w:p>
            <w:pPr>
              <w:spacing w:line="280" w:lineRule="exact"/>
              <w:ind w:firstLine="420" w:firstLineChars="200"/>
              <w:rPr>
                <w:rFonts w:hint="eastAsia"/>
                <w:lang w:val="en-US" w:eastAsia="zh-CN"/>
              </w:rPr>
            </w:pPr>
            <w:r>
              <w:rPr>
                <w:rFonts w:hint="eastAsia"/>
                <w:lang w:val="en-US" w:eastAsia="zh-CN"/>
              </w:rPr>
              <w:t>培训实施记录与培训计划基本一致，基本符合标准要求。</w:t>
            </w:r>
          </w:p>
          <w:p>
            <w:pPr>
              <w:spacing w:line="280" w:lineRule="exact"/>
              <w:ind w:firstLine="420" w:firstLineChars="200"/>
              <w:rPr>
                <w:rFonts w:hint="default"/>
                <w:lang w:val="en-US" w:eastAsia="zh-CN"/>
              </w:rPr>
            </w:pPr>
            <w:r>
              <w:rPr>
                <w:rFonts w:hint="eastAsia"/>
                <w:lang w:val="en-US" w:eastAsia="zh-CN"/>
              </w:rPr>
              <w:t>提供特种作业人员证书，抽查内容如下：</w:t>
            </w:r>
          </w:p>
          <w:tbl>
            <w:tblPr>
              <w:tblStyle w:val="8"/>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986"/>
              <w:gridCol w:w="2471"/>
              <w:gridCol w:w="206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364" w:type="dxa"/>
                  <w:shd w:val="clear" w:color="auto" w:fill="auto"/>
                </w:tcPr>
                <w:p>
                  <w:pPr>
                    <w:spacing w:line="280" w:lineRule="exact"/>
                    <w:rPr>
                      <w:rFonts w:hint="eastAsia"/>
                      <w:lang w:val="en-US" w:eastAsia="zh-CN"/>
                    </w:rPr>
                  </w:pPr>
                  <w:r>
                    <w:rPr>
                      <w:rFonts w:hint="eastAsia"/>
                      <w:lang w:val="en-US" w:eastAsia="zh-CN"/>
                    </w:rPr>
                    <w:t>特种设备作业人员</w:t>
                  </w:r>
                </w:p>
              </w:tc>
              <w:tc>
                <w:tcPr>
                  <w:tcW w:w="986" w:type="dxa"/>
                  <w:shd w:val="clear" w:color="auto" w:fill="auto"/>
                </w:tcPr>
                <w:p>
                  <w:pPr>
                    <w:spacing w:line="280" w:lineRule="exact"/>
                    <w:rPr>
                      <w:rFonts w:hint="eastAsia"/>
                      <w:lang w:val="en-US" w:eastAsia="zh-CN"/>
                    </w:rPr>
                  </w:pPr>
                  <w:r>
                    <w:rPr>
                      <w:rFonts w:hint="eastAsia"/>
                      <w:lang w:val="en-US" w:eastAsia="zh-CN"/>
                    </w:rPr>
                    <w:t>姓名</w:t>
                  </w:r>
                </w:p>
              </w:tc>
              <w:tc>
                <w:tcPr>
                  <w:tcW w:w="2471" w:type="dxa"/>
                  <w:shd w:val="clear" w:color="auto" w:fill="auto"/>
                </w:tcPr>
                <w:p>
                  <w:pPr>
                    <w:spacing w:line="280" w:lineRule="exact"/>
                    <w:rPr>
                      <w:rFonts w:hint="eastAsia"/>
                      <w:lang w:val="en-US" w:eastAsia="zh-CN"/>
                    </w:rPr>
                  </w:pPr>
                  <w:r>
                    <w:rPr>
                      <w:rFonts w:hint="eastAsia"/>
                      <w:lang w:val="en-US" w:eastAsia="zh-CN"/>
                    </w:rPr>
                    <w:t>资格证书编号</w:t>
                  </w:r>
                </w:p>
              </w:tc>
              <w:tc>
                <w:tcPr>
                  <w:tcW w:w="2068" w:type="dxa"/>
                  <w:shd w:val="clear" w:color="auto" w:fill="auto"/>
                </w:tcPr>
                <w:p>
                  <w:pPr>
                    <w:spacing w:line="280" w:lineRule="exact"/>
                    <w:rPr>
                      <w:rFonts w:hint="eastAsia"/>
                      <w:lang w:val="en-US" w:eastAsia="zh-CN"/>
                    </w:rPr>
                  </w:pPr>
                  <w:r>
                    <w:rPr>
                      <w:rFonts w:hint="eastAsia"/>
                      <w:lang w:val="en-US" w:eastAsia="zh-CN"/>
                    </w:rPr>
                    <w:t>有效期期限</w:t>
                  </w:r>
                </w:p>
              </w:tc>
              <w:tc>
                <w:tcPr>
                  <w:tcW w:w="1848" w:type="dxa"/>
                  <w:shd w:val="clear" w:color="auto" w:fill="auto"/>
                </w:tcPr>
                <w:p>
                  <w:pPr>
                    <w:spacing w:line="280" w:lineRule="exact"/>
                    <w:rPr>
                      <w:rFonts w:hint="eastAsia"/>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364" w:type="dxa"/>
                  <w:vAlign w:val="top"/>
                </w:tcPr>
                <w:p>
                  <w:pPr>
                    <w:spacing w:line="280" w:lineRule="exact"/>
                    <w:rPr>
                      <w:rFonts w:hint="default"/>
                      <w:lang w:val="en-US" w:eastAsia="zh-CN"/>
                    </w:rPr>
                  </w:pPr>
                  <w:r>
                    <w:rPr>
                      <w:rFonts w:hint="eastAsia"/>
                      <w:lang w:val="en-US" w:eastAsia="zh-CN"/>
                    </w:rPr>
                    <w:t>低压电工</w:t>
                  </w:r>
                </w:p>
              </w:tc>
              <w:tc>
                <w:tcPr>
                  <w:tcW w:w="986" w:type="dxa"/>
                  <w:vAlign w:val="center"/>
                </w:tcPr>
                <w:p>
                  <w:pPr>
                    <w:spacing w:line="280" w:lineRule="exact"/>
                    <w:rPr>
                      <w:rFonts w:hint="default"/>
                      <w:lang w:val="en-US" w:eastAsia="zh-CN"/>
                    </w:rPr>
                  </w:pPr>
                  <w:r>
                    <w:rPr>
                      <w:rFonts w:hint="eastAsia"/>
                      <w:lang w:val="en-US" w:eastAsia="zh-CN"/>
                    </w:rPr>
                    <w:t>孙建力</w:t>
                  </w:r>
                </w:p>
              </w:tc>
              <w:tc>
                <w:tcPr>
                  <w:tcW w:w="2471" w:type="dxa"/>
                  <w:vAlign w:val="center"/>
                </w:tcPr>
                <w:p>
                  <w:pPr>
                    <w:spacing w:line="280" w:lineRule="exact"/>
                    <w:rPr>
                      <w:rFonts w:hint="default"/>
                      <w:lang w:val="en-US" w:eastAsia="zh-CN"/>
                    </w:rPr>
                  </w:pPr>
                  <w:r>
                    <w:rPr>
                      <w:rFonts w:hint="default"/>
                      <w:lang w:val="en-US" w:eastAsia="zh-CN"/>
                    </w:rPr>
                    <w:t>T330122196401180012</w:t>
                  </w:r>
                </w:p>
              </w:tc>
              <w:tc>
                <w:tcPr>
                  <w:tcW w:w="2068" w:type="dxa"/>
                  <w:vAlign w:val="top"/>
                </w:tcPr>
                <w:p>
                  <w:pPr>
                    <w:spacing w:line="280" w:lineRule="exact"/>
                    <w:rPr>
                      <w:rFonts w:hint="eastAsia"/>
                      <w:lang w:val="en-US" w:eastAsia="zh-CN"/>
                    </w:rPr>
                  </w:pPr>
                  <w:r>
                    <w:rPr>
                      <w:rFonts w:hint="eastAsia"/>
                    </w:rPr>
                    <w:t>2024年1月17日</w:t>
                  </w:r>
                </w:p>
              </w:tc>
              <w:tc>
                <w:tcPr>
                  <w:tcW w:w="1848" w:type="dxa"/>
                  <w:vAlign w:val="top"/>
                </w:tcPr>
                <w:p>
                  <w:pPr>
                    <w:spacing w:line="280" w:lineRule="exact"/>
                    <w:rPr>
                      <w:rFonts w:hint="eastAsia"/>
                      <w:lang w:val="en-US" w:eastAsia="zh-CN"/>
                    </w:rPr>
                  </w:pPr>
                  <w:r>
                    <w:rPr>
                      <w:rFonts w:hint="eastAsia"/>
                      <w:lang w:val="en-US" w:eastAsia="zh-CN"/>
                    </w:rPr>
                    <w:sym w:font="Wingdings 2" w:char="0052"/>
                  </w:r>
                  <w:r>
                    <w:rPr>
                      <w:rFonts w:hint="eastAsia"/>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364" w:type="dxa"/>
                  <w:vAlign w:val="top"/>
                </w:tcPr>
                <w:p>
                  <w:pPr>
                    <w:spacing w:line="280" w:lineRule="exact"/>
                    <w:rPr>
                      <w:rFonts w:hint="default"/>
                      <w:lang w:val="en-US" w:eastAsia="zh-CN"/>
                    </w:rPr>
                  </w:pPr>
                  <w:r>
                    <w:rPr>
                      <w:rFonts w:hint="eastAsia"/>
                      <w:lang w:val="en-US" w:eastAsia="zh-CN"/>
                    </w:rPr>
                    <w:t>电梯司机安全管理（A4）</w:t>
                  </w:r>
                </w:p>
              </w:tc>
              <w:tc>
                <w:tcPr>
                  <w:tcW w:w="986" w:type="dxa"/>
                  <w:vAlign w:val="top"/>
                </w:tcPr>
                <w:p>
                  <w:pPr>
                    <w:spacing w:line="280" w:lineRule="exact"/>
                    <w:rPr>
                      <w:rFonts w:hint="default"/>
                      <w:lang w:val="en-US" w:eastAsia="zh-CN"/>
                    </w:rPr>
                  </w:pPr>
                  <w:r>
                    <w:rPr>
                      <w:rFonts w:hint="eastAsia"/>
                      <w:lang w:val="en-US" w:eastAsia="zh-CN"/>
                    </w:rPr>
                    <w:t>陈炎芳</w:t>
                  </w:r>
                </w:p>
              </w:tc>
              <w:tc>
                <w:tcPr>
                  <w:tcW w:w="2471" w:type="dxa"/>
                  <w:vAlign w:val="top"/>
                </w:tcPr>
                <w:p>
                  <w:pPr>
                    <w:spacing w:line="280" w:lineRule="exact"/>
                    <w:rPr>
                      <w:rFonts w:hint="default"/>
                      <w:lang w:val="en-US" w:eastAsia="zh-CN"/>
                    </w:rPr>
                  </w:pPr>
                  <w:r>
                    <w:rPr>
                      <w:rFonts w:hint="eastAsia"/>
                      <w:lang w:val="en-US" w:eastAsia="zh-CN"/>
                    </w:rPr>
                    <w:t>330122197203153636</w:t>
                  </w:r>
                </w:p>
              </w:tc>
              <w:tc>
                <w:tcPr>
                  <w:tcW w:w="2068" w:type="dxa"/>
                  <w:vAlign w:val="top"/>
                </w:tcPr>
                <w:p>
                  <w:pPr>
                    <w:spacing w:line="280" w:lineRule="exact"/>
                    <w:rPr>
                      <w:rFonts w:hint="default"/>
                      <w:lang w:val="en-US" w:eastAsia="zh-CN"/>
                    </w:rPr>
                  </w:pPr>
                  <w:r>
                    <w:rPr>
                      <w:rFonts w:hint="eastAsia"/>
                      <w:lang w:val="en-US" w:eastAsia="zh-CN"/>
                    </w:rPr>
                    <w:t>2023年7月2日</w:t>
                  </w:r>
                </w:p>
              </w:tc>
              <w:tc>
                <w:tcPr>
                  <w:tcW w:w="1848" w:type="dxa"/>
                  <w:vAlign w:val="top"/>
                </w:tcPr>
                <w:p>
                  <w:pPr>
                    <w:spacing w:line="280" w:lineRule="exact"/>
                    <w:rPr>
                      <w:rFonts w:hint="eastAsia"/>
                      <w:lang w:val="en-US" w:eastAsia="zh-CN"/>
                    </w:rPr>
                  </w:pPr>
                  <w:r>
                    <w:rPr>
                      <w:rFonts w:hint="eastAsia"/>
                      <w:lang w:val="en-US" w:eastAsia="zh-CN"/>
                    </w:rPr>
                    <w:sym w:font="Wingdings 2" w:char="0052"/>
                  </w:r>
                  <w:r>
                    <w:rPr>
                      <w:rFonts w:hint="eastAsia"/>
                      <w:lang w:val="en-US" w:eastAsia="zh-CN"/>
                    </w:rPr>
                    <w:t>有效  □过期</w:t>
                  </w:r>
                </w:p>
              </w:tc>
            </w:tr>
          </w:tbl>
          <w:p>
            <w:pPr>
              <w:pStyle w:val="2"/>
              <w:numPr>
                <w:ilvl w:val="0"/>
                <w:numId w:val="0"/>
              </w:numPr>
              <w:ind w:leftChars="0"/>
            </w:pPr>
          </w:p>
        </w:tc>
        <w:tc>
          <w:tcPr>
            <w:tcW w:w="723" w:type="dxa"/>
            <w:vMerge w:val="restart"/>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vMerge w:val="continue"/>
          </w:tcPr>
          <w:p>
            <w:pPr>
              <w:bidi w:val="0"/>
            </w:pPr>
          </w:p>
        </w:tc>
        <w:tc>
          <w:tcPr>
            <w:tcW w:w="998" w:type="dxa"/>
            <w:vMerge w:val="continue"/>
          </w:tcPr>
          <w:p>
            <w:pPr>
              <w:bidi w:val="0"/>
            </w:pPr>
          </w:p>
        </w:tc>
        <w:tc>
          <w:tcPr>
            <w:tcW w:w="10866" w:type="dxa"/>
            <w:vAlign w:val="center"/>
          </w:tcPr>
          <w:p>
            <w:pPr>
              <w:spacing w:line="280" w:lineRule="exact"/>
              <w:ind w:firstLine="420" w:firstLineChars="200"/>
              <w:rPr>
                <w:rFonts w:hint="eastAsia"/>
                <w:lang w:val="en-US" w:eastAsia="zh-CN"/>
              </w:rPr>
            </w:pPr>
            <w:r>
              <w:rPr>
                <w:rFonts w:hint="eastAsia"/>
                <w:lang w:val="en-US" w:eastAsia="zh-CN"/>
              </w:rPr>
              <w:t>从综合部方国成了解到，其对组织方针和所在工作岗位的质量、环境目标基本熟悉，也了解自己的工作效益会影响组织质量、环境管理体系的有效运行。</w:t>
            </w:r>
          </w:p>
          <w:p>
            <w:pPr>
              <w:spacing w:line="280" w:lineRule="exact"/>
              <w:ind w:firstLine="420" w:firstLineChars="200"/>
              <w:rPr>
                <w:rFonts w:hint="eastAsia"/>
                <w:lang w:val="en-US" w:eastAsia="zh-CN"/>
              </w:rPr>
            </w:pPr>
            <w:r>
              <w:rPr>
                <w:rFonts w:hint="eastAsia"/>
                <w:lang w:val="en-US" w:eastAsia="zh-CN"/>
              </w:rPr>
              <w:t>综合部方国成介绍：组织通过培训学习、宣传等方法使在组织控制范围内的相关工作人员了解到：环境和职业健康安全方针的意义；熟悉相关的环境和职业健康安全目标；员工对环境和职业健康安全管理体系有效性的贡献包括改进相应绩效的益处；不符合管理体系要求的后果。</w:t>
            </w:r>
          </w:p>
          <w:p>
            <w:pPr>
              <w:spacing w:line="280" w:lineRule="exact"/>
              <w:ind w:firstLine="420" w:firstLineChars="200"/>
              <w:rPr>
                <w:b/>
                <w:szCs w:val="21"/>
              </w:rPr>
            </w:pPr>
            <w:r>
              <w:rPr>
                <w:rFonts w:hint="eastAsia"/>
                <w:lang w:val="en-US" w:eastAsia="zh-CN"/>
              </w:rPr>
              <w:t>综合现场巡视的情况，组织员工具备基本的环保和安全意识，满足要求。</w:t>
            </w:r>
          </w:p>
        </w:tc>
        <w:tc>
          <w:tcPr>
            <w:tcW w:w="7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22" w:type="dxa"/>
          </w:tcPr>
          <w:p>
            <w:pPr>
              <w:bidi w:val="0"/>
              <w:rPr>
                <w:rFonts w:hint="eastAsia"/>
                <w:lang w:val="en-US" w:eastAsia="zh-CN"/>
              </w:rPr>
            </w:pPr>
            <w:r>
              <w:rPr>
                <w:rFonts w:hint="eastAsia"/>
                <w:lang w:val="en-US" w:eastAsia="zh-CN"/>
              </w:rPr>
              <w:t>沟通</w:t>
            </w:r>
          </w:p>
        </w:tc>
        <w:tc>
          <w:tcPr>
            <w:tcW w:w="998" w:type="dxa"/>
          </w:tcPr>
          <w:p>
            <w:pPr>
              <w:bidi w:val="0"/>
              <w:rPr>
                <w:rFonts w:hint="default"/>
                <w:lang w:val="en-US" w:eastAsia="zh-CN"/>
              </w:rPr>
            </w:pPr>
            <w:r>
              <w:rPr>
                <w:rFonts w:hint="eastAsia"/>
                <w:lang w:val="en-US" w:eastAsia="zh-CN"/>
              </w:rPr>
              <w:t>EO7.4</w:t>
            </w:r>
          </w:p>
        </w:tc>
        <w:tc>
          <w:tcPr>
            <w:tcW w:w="10866" w:type="dxa"/>
            <w:vAlign w:val="center"/>
          </w:tcPr>
          <w:p>
            <w:pPr>
              <w:spacing w:line="280" w:lineRule="exact"/>
              <w:ind w:firstLine="420" w:firstLineChars="200"/>
              <w:rPr>
                <w:rFonts w:hint="eastAsia"/>
                <w:lang w:val="en-US" w:eastAsia="zh-CN"/>
              </w:rPr>
            </w:pPr>
            <w:r>
              <w:rPr>
                <w:rFonts w:hint="eastAsia"/>
                <w:lang w:val="en-US" w:eastAsia="zh-CN"/>
              </w:rPr>
              <w:t>组织按照《信息交流控制程序》对沟通过程进行控制，其内部沟通和协商的内容：1.沟通的信息一般包括：管理方针、目标、职责的沟通和传达；环境和相关方分析信息，生产经营中的职业健康安全风险信息；相关法律法规和其他要求的传达和合规性评价结果；顾客、员工及其他相关方要求的传递；其他信息传递。2.协商的事项有：员工参与管理方针、目标和相关程序的制定和评审；参与安全管理事务；参与改善作业状况的讨论等等。其外部沟通的内容主要包括：向顾客、供方、街道等相关方宣传组织的管理方针和管理要求；传递相关方要求的变更信息；接收、处理和答复相关方关注的职业健康安全问题；与供方、顾客业务处理过程中信息沟通；与主管部门在监督检查中的沟通等。</w:t>
            </w:r>
          </w:p>
          <w:p>
            <w:pPr>
              <w:spacing w:line="280" w:lineRule="exact"/>
              <w:ind w:firstLine="420" w:firstLineChars="200"/>
              <w:rPr>
                <w:rFonts w:hint="default"/>
                <w:lang w:val="en-US" w:eastAsia="zh-CN"/>
              </w:rPr>
            </w:pPr>
            <w:r>
              <w:rPr>
                <w:rFonts w:hint="eastAsia"/>
                <w:lang w:val="en-US" w:eastAsia="zh-CN"/>
              </w:rPr>
              <w:t>沟通方式包括：1.内部：口头（电话）、例会、文件会签、其它记录等；2.外部：电话、招投标、合同签订、参与产品交付验收、保修要求及回访、投诉等。</w:t>
            </w:r>
          </w:p>
          <w:p>
            <w:pPr>
              <w:spacing w:line="280" w:lineRule="exact"/>
              <w:ind w:firstLine="420" w:firstLineChars="200"/>
              <w:rPr>
                <w:rFonts w:hint="default"/>
                <w:lang w:val="en-US" w:eastAsia="zh-CN"/>
              </w:rPr>
            </w:pPr>
            <w:r>
              <w:rPr>
                <w:rFonts w:hint="eastAsia"/>
                <w:lang w:val="en-US" w:eastAsia="zh-CN"/>
              </w:rPr>
              <w:t>抽查内部沟通案例：焊锡职业病危害告知卡：内容包括健康危害、理化特性、标准限值、应急处理和防护措施等，基本能够达到宣传沟通需求。</w:t>
            </w:r>
          </w:p>
          <w:p>
            <w:pPr>
              <w:spacing w:line="280" w:lineRule="exact"/>
              <w:ind w:firstLine="420" w:firstLineChars="200"/>
              <w:rPr>
                <w:rFonts w:hint="eastAsia"/>
                <w:lang w:val="en-US" w:eastAsia="zh-CN"/>
              </w:rPr>
            </w:pPr>
            <w:r>
              <w:rPr>
                <w:rFonts w:hint="eastAsia"/>
                <w:lang w:val="en-US" w:eastAsia="zh-CN"/>
              </w:rPr>
              <w:t>抽查外部沟通案例：《相关方告知书》：沟通对象：杭州海康慧影科技有限公司；沟通内容：环境和职业健康安全问题；包括1.方针；2.配合事项；沟通方式：文件；内容基本完整，相关方有接收人员签字，基本能够保证有效传达。</w:t>
            </w:r>
          </w:p>
          <w:p>
            <w:pPr>
              <w:spacing w:line="280" w:lineRule="exact"/>
              <w:ind w:firstLine="420" w:firstLineChars="200"/>
              <w:rPr>
                <w:rFonts w:hint="default"/>
                <w:lang w:val="en-US" w:eastAsia="zh-CN"/>
              </w:rPr>
            </w:pPr>
            <w:r>
              <w:rPr>
                <w:rFonts w:hint="eastAsia"/>
                <w:lang w:val="en-US" w:eastAsia="zh-CN"/>
              </w:rPr>
              <w:t>其它沟通内容见各部门相关记录。</w:t>
            </w:r>
          </w:p>
        </w:tc>
        <w:tc>
          <w:tcPr>
            <w:tcW w:w="723"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bidi w:val="0"/>
            </w:pPr>
            <w:r>
              <w:rPr>
                <w:rFonts w:hint="eastAsia"/>
              </w:rPr>
              <w:t>成文信息</w:t>
            </w:r>
          </w:p>
          <w:p>
            <w:pPr>
              <w:bidi w:val="0"/>
            </w:pPr>
          </w:p>
        </w:tc>
        <w:tc>
          <w:tcPr>
            <w:tcW w:w="998" w:type="dxa"/>
          </w:tcPr>
          <w:p>
            <w:pPr>
              <w:bidi w:val="0"/>
            </w:pPr>
            <w:r>
              <w:rPr>
                <w:rFonts w:hint="eastAsia"/>
                <w:lang w:eastAsia="zh-CN"/>
              </w:rPr>
              <w:t>EO</w:t>
            </w:r>
            <w:r>
              <w:rPr>
                <w:rFonts w:hint="eastAsia"/>
              </w:rPr>
              <w:t>7.5</w:t>
            </w:r>
          </w:p>
          <w:p>
            <w:pPr>
              <w:bidi w:val="0"/>
            </w:pPr>
          </w:p>
        </w:tc>
        <w:tc>
          <w:tcPr>
            <w:tcW w:w="10866" w:type="dxa"/>
            <w:vAlign w:val="center"/>
          </w:tcPr>
          <w:p>
            <w:pPr>
              <w:spacing w:line="280" w:lineRule="exact"/>
              <w:ind w:firstLine="420" w:firstLineChars="200"/>
              <w:rPr>
                <w:rFonts w:hint="default"/>
                <w:lang w:val="en-US" w:eastAsia="zh-CN"/>
              </w:rPr>
            </w:pPr>
            <w:r>
              <w:rPr>
                <w:rFonts w:hint="eastAsia"/>
                <w:lang w:val="en-US" w:eastAsia="zh-CN"/>
              </w:rPr>
              <w:t>现场结合一阶段文件审核发现，组织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spacing w:line="280" w:lineRule="exact"/>
              <w:ind w:firstLine="420" w:firstLineChars="200"/>
              <w:rPr>
                <w:rFonts w:hint="eastAsia"/>
                <w:lang w:val="en-US" w:eastAsia="zh-CN"/>
              </w:rPr>
            </w:pPr>
            <w:r>
              <w:rPr>
                <w:rFonts w:hint="eastAsia"/>
                <w:lang w:val="en-US" w:eastAsia="zh-CN"/>
              </w:rPr>
              <w:t>一级文件：JR-SC-01《质量、环境、职业健康安全管理体系管理手册》；版本号：A/0；编制：编制小组；审核：方国成；批准：陈胜华。</w:t>
            </w:r>
          </w:p>
          <w:p>
            <w:pPr>
              <w:spacing w:line="280" w:lineRule="exact"/>
              <w:ind w:firstLine="420" w:firstLineChars="200"/>
              <w:rPr>
                <w:rFonts w:hint="default"/>
                <w:lang w:val="en-US" w:eastAsia="zh-CN"/>
              </w:rPr>
            </w:pPr>
            <w:r>
              <w:rPr>
                <w:rFonts w:hint="eastAsia"/>
                <w:lang w:val="en-US" w:eastAsia="zh-CN"/>
              </w:rPr>
              <w:t>二级文件：包括《</w:t>
            </w:r>
            <w:bookmarkStart w:id="4" w:name="OLE_LINK4"/>
            <w:r>
              <w:rPr>
                <w:rFonts w:hint="eastAsia"/>
                <w:lang w:val="en-US" w:eastAsia="zh-CN"/>
              </w:rPr>
              <w:t>文件控制/法律法规及其它要求控制程序</w:t>
            </w:r>
            <w:bookmarkEnd w:id="4"/>
            <w:r>
              <w:rPr>
                <w:rFonts w:hint="eastAsia"/>
                <w:lang w:val="en-US" w:eastAsia="zh-CN"/>
              </w:rPr>
              <w:t>》等共38个，覆盖了质量、环境、职业健康安全标准要求的所有文件化过程，其《文件信息控制程序》对管理体系记录的标识、贮存、保护、检索、保存期限和处置等作了明确规定，符合要求。</w:t>
            </w:r>
          </w:p>
          <w:p>
            <w:pPr>
              <w:spacing w:line="280" w:lineRule="exact"/>
              <w:ind w:firstLine="420" w:firstLineChars="200"/>
              <w:rPr>
                <w:rFonts w:hint="eastAsia"/>
                <w:lang w:val="en-US" w:eastAsia="zh-CN"/>
              </w:rPr>
            </w:pPr>
            <w:r>
              <w:rPr>
                <w:rFonts w:hint="eastAsia"/>
                <w:lang w:val="en-US" w:eastAsia="zh-CN"/>
              </w:rPr>
              <w:t>三层次文件：管理制度和作业指导书。</w:t>
            </w:r>
          </w:p>
          <w:p>
            <w:pPr>
              <w:spacing w:line="280" w:lineRule="exact"/>
              <w:ind w:firstLine="420" w:firstLineChars="200"/>
              <w:rPr>
                <w:rFonts w:hint="eastAsia"/>
                <w:lang w:val="en-US" w:eastAsia="zh-CN"/>
              </w:rPr>
            </w:pPr>
            <w:r>
              <w:rPr>
                <w:rFonts w:hint="eastAsia"/>
                <w:lang w:val="en-US" w:eastAsia="zh-CN"/>
              </w:rPr>
              <w:t>四级文件包括：内审报告、管理评审报告、重要危险源清单、重要环境因素清单等记录。明确了记录名称、编号、使用保存部门、保存期限等，并经审核后使用。组织各记录由各使用部门保存。</w:t>
            </w:r>
          </w:p>
          <w:p>
            <w:pPr>
              <w:spacing w:line="280" w:lineRule="exact"/>
              <w:ind w:firstLine="420" w:firstLineChars="200"/>
              <w:rPr>
                <w:rFonts w:hint="eastAsia"/>
                <w:lang w:val="en-US" w:eastAsia="zh-CN"/>
              </w:rPr>
            </w:pPr>
            <w:r>
              <w:rPr>
                <w:rFonts w:hint="eastAsia"/>
                <w:lang w:val="en-US" w:eastAsia="zh-CN"/>
              </w:rPr>
              <w:t>抽查归档文件整理情况，综合部已将文件进行了分类，按文件的名称、编号及时间装文件袋进行归档，文件较清洁，字迹清晰，检索方便，抽查综合部保存的记录包括内部审核资料、管理评审资料等，均已装订成册，归档文件、记录存放于通风、干燥、防蛀的文件柜内，环境干燥、通风，符合文件归档及防护的要求。</w:t>
            </w:r>
          </w:p>
          <w:p>
            <w:pPr>
              <w:spacing w:line="280" w:lineRule="exact"/>
              <w:ind w:firstLine="420" w:firstLineChars="200"/>
              <w:rPr>
                <w:rFonts w:hint="eastAsia"/>
                <w:lang w:val="en-US" w:eastAsia="zh-CN"/>
              </w:rPr>
            </w:pPr>
            <w:r>
              <w:rPr>
                <w:rFonts w:hint="eastAsia"/>
                <w:lang w:val="en-US" w:eastAsia="zh-CN"/>
              </w:rPr>
              <w:t>抽查文件发放记录：综合部2021年9月25日有相关的一、二、三层次管理制度文件文件的下发记录。</w:t>
            </w:r>
          </w:p>
          <w:p>
            <w:pPr>
              <w:spacing w:line="280" w:lineRule="exact"/>
              <w:ind w:firstLine="420" w:firstLineChars="200"/>
              <w:rPr>
                <w:rFonts w:hint="eastAsia"/>
                <w:lang w:val="en-US" w:eastAsia="zh-CN"/>
              </w:rPr>
            </w:pPr>
            <w:r>
              <w:rPr>
                <w:rFonts w:hint="eastAsia"/>
                <w:lang w:val="en-US" w:eastAsia="zh-CN"/>
              </w:rPr>
              <w:t>综合部方国成介绍：组织的记录原件原则上不外借，其它记录查阅时须有关部门同意后，方可查阅。</w:t>
            </w:r>
          </w:p>
          <w:p>
            <w:pPr>
              <w:spacing w:line="280" w:lineRule="exact"/>
              <w:ind w:firstLine="420" w:firstLineChars="200"/>
              <w:rPr>
                <w:rFonts w:hint="eastAsia"/>
                <w:lang w:val="en-US" w:eastAsia="zh-CN"/>
              </w:rPr>
            </w:pPr>
            <w:r>
              <w:rPr>
                <w:rFonts w:hint="eastAsia"/>
                <w:lang w:val="en-US" w:eastAsia="zh-CN"/>
              </w:rPr>
              <w:t>查外来文件：组织识别了与产品要求和质量管理体系运行有关的国家法律法规及标准、行业、地方颁布的条例、标准、规范、规程、办法等，如《中华人民共和国环境保护法》、《中华人民共和国安全生产法》、《中华人民共和国民法典》等；识别了环境管理体系运行有关的标准主要</w:t>
            </w:r>
            <w:r>
              <w:rPr>
                <w:rFonts w:hint="eastAsia" w:ascii="华文细黑" w:hAnsi="华文细黑" w:eastAsia="华文细黑" w:cs="华文细黑"/>
                <w:lang w:val="en-US" w:eastAsia="zh-CN"/>
              </w:rPr>
              <w:t>涉及</w:t>
            </w:r>
            <w:r>
              <w:rPr>
                <w:rFonts w:hint="eastAsia" w:ascii="华文细黑" w:hAnsi="华文细黑" w:eastAsia="华文细黑" w:cs="华文细黑"/>
                <w:color w:val="000000"/>
                <w:kern w:val="0"/>
                <w:sz w:val="21"/>
                <w:szCs w:val="21"/>
                <w:lang w:val="en-US" w:eastAsia="zh-CN" w:bidi="ar"/>
              </w:rPr>
              <w:t>GB 9706.1-2020</w:t>
            </w:r>
            <w:r>
              <w:rPr>
                <w:rFonts w:hint="eastAsia" w:ascii="华文细黑" w:hAnsi="华文细黑" w:eastAsia="华文细黑" w:cs="华文细黑"/>
                <w:lang w:val="en-US" w:eastAsia="zh-CN"/>
              </w:rPr>
              <w:t>《</w:t>
            </w:r>
            <w:r>
              <w:rPr>
                <w:rFonts w:hint="eastAsia" w:ascii="华文细黑" w:hAnsi="华文细黑" w:eastAsia="华文细黑" w:cs="华文细黑"/>
                <w:color w:val="000000"/>
                <w:kern w:val="0"/>
                <w:sz w:val="21"/>
                <w:szCs w:val="21"/>
                <w:lang w:val="en-US" w:eastAsia="zh-CN" w:bidi="ar"/>
              </w:rPr>
              <w:t>医用电气设备 第1部分：安全通用要求</w:t>
            </w:r>
            <w:r>
              <w:rPr>
                <w:rFonts w:hint="eastAsia" w:ascii="华文细黑" w:hAnsi="华文细黑" w:eastAsia="华文细黑" w:cs="华文细黑"/>
                <w:lang w:val="en-US" w:eastAsia="zh-CN"/>
              </w:rPr>
              <w:t>》等，组织识别的适用法律法规和标准内容基本完</w:t>
            </w:r>
            <w:r>
              <w:rPr>
                <w:rFonts w:hint="eastAsia"/>
                <w:lang w:val="en-US" w:eastAsia="zh-CN"/>
              </w:rPr>
              <w:t>整，与生产实际吻合，能够满足要求。</w:t>
            </w:r>
          </w:p>
          <w:p>
            <w:pPr>
              <w:spacing w:line="280" w:lineRule="exact"/>
              <w:ind w:firstLine="420" w:firstLineChars="200"/>
              <w:rPr>
                <w:rFonts w:hint="eastAsia"/>
                <w:lang w:val="en-US" w:eastAsia="zh-CN"/>
              </w:rPr>
            </w:pPr>
            <w:r>
              <w:rPr>
                <w:rFonts w:hint="eastAsia"/>
                <w:lang w:val="en-US" w:eastAsia="zh-CN"/>
              </w:rPr>
              <w:t>变更：暂无记录。</w:t>
            </w:r>
          </w:p>
          <w:p>
            <w:pPr>
              <w:spacing w:line="280" w:lineRule="exact"/>
              <w:ind w:firstLine="420" w:firstLineChars="200"/>
              <w:rPr>
                <w:rFonts w:hint="eastAsia"/>
                <w:lang w:val="en-US" w:eastAsia="zh-CN"/>
              </w:rPr>
            </w:pPr>
            <w:r>
              <w:rPr>
                <w:rFonts w:hint="eastAsia"/>
                <w:lang w:val="en-US" w:eastAsia="zh-CN"/>
              </w:rPr>
              <w:t>作废：暂无记录。</w:t>
            </w:r>
          </w:p>
          <w:p>
            <w:pPr>
              <w:spacing w:line="280" w:lineRule="exact"/>
              <w:ind w:firstLine="420" w:firstLineChars="200"/>
              <w:rPr>
                <w:szCs w:val="21"/>
              </w:rPr>
            </w:pPr>
            <w:r>
              <w:rPr>
                <w:rFonts w:hint="eastAsia"/>
                <w:lang w:val="en-US" w:eastAsia="zh-CN"/>
              </w:rPr>
              <w:t>综上，组织的文件、记录等的控制基本有效。</w:t>
            </w:r>
          </w:p>
        </w:tc>
        <w:tc>
          <w:tcPr>
            <w:tcW w:w="723"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rFonts w:hint="eastAsia"/>
                <w:szCs w:val="21"/>
                <w:lang w:val="en-US" w:eastAsia="zh-CN"/>
              </w:rPr>
              <w:t>O</w:t>
            </w:r>
            <w:r>
              <w:rPr>
                <w:rFonts w:hint="eastAsia"/>
                <w:szCs w:val="21"/>
              </w:rPr>
              <w:t>8.1</w:t>
            </w:r>
          </w:p>
        </w:tc>
        <w:tc>
          <w:tcPr>
            <w:tcW w:w="10866" w:type="dxa"/>
            <w:vAlign w:val="center"/>
          </w:tcPr>
          <w:p>
            <w:pPr>
              <w:spacing w:line="280" w:lineRule="exact"/>
              <w:ind w:firstLine="420" w:firstLineChars="200"/>
              <w:rPr>
                <w:rFonts w:hint="default"/>
                <w:lang w:val="en-US" w:eastAsia="zh-CN"/>
              </w:rPr>
            </w:pPr>
            <w:r>
              <w:rPr>
                <w:rFonts w:hint="eastAsia"/>
                <w:lang w:val="en-US" w:eastAsia="zh-CN"/>
              </w:rPr>
              <w:t>组织</w:t>
            </w:r>
            <w:r>
              <w:rPr>
                <w:rFonts w:hint="eastAsia"/>
              </w:rPr>
              <w:t>编制</w:t>
            </w:r>
            <w:r>
              <w:rPr>
                <w:rFonts w:hint="eastAsia"/>
                <w:lang w:val="en-US" w:eastAsia="zh-CN"/>
              </w:rPr>
              <w:t>的</w:t>
            </w:r>
            <w:r>
              <w:rPr>
                <w:rFonts w:hint="eastAsia"/>
              </w:rPr>
              <w:t>与环境管理体系运行控制有关的文件</w:t>
            </w:r>
            <w:r>
              <w:rPr>
                <w:rFonts w:hint="eastAsia"/>
                <w:lang w:val="en-US" w:eastAsia="zh-CN"/>
              </w:rPr>
              <w:t>主要包括</w:t>
            </w:r>
            <w:r>
              <w:rPr>
                <w:rFonts w:hint="eastAsia"/>
              </w:rPr>
              <w:t>《环境、职业健康安全目标、指标和方案管理控制程序》、《危险源和环境因素识别、评价控制程序》、《环境和健康安全绩效监测控制程序》</w:t>
            </w:r>
            <w:r>
              <w:rPr>
                <w:rFonts w:hint="eastAsia"/>
                <w:lang w:eastAsia="zh-CN"/>
              </w:rPr>
              <w:t>、《</w:t>
            </w:r>
            <w:r>
              <w:rPr>
                <w:rFonts w:hint="eastAsia"/>
              </w:rPr>
              <w:t>合规性评价</w:t>
            </w:r>
            <w:r>
              <w:rPr>
                <w:rFonts w:hint="eastAsia"/>
                <w:lang w:val="en-US" w:eastAsia="zh-CN"/>
              </w:rPr>
              <w:t>控制</w:t>
            </w:r>
            <w:r>
              <w:rPr>
                <w:rFonts w:hint="eastAsia"/>
              </w:rPr>
              <w:t>程序</w:t>
            </w:r>
            <w:r>
              <w:rPr>
                <w:rFonts w:hint="eastAsia"/>
                <w:lang w:eastAsia="zh-CN"/>
              </w:rPr>
              <w:t>》、《</w:t>
            </w:r>
            <w:r>
              <w:rPr>
                <w:rFonts w:hint="eastAsia"/>
              </w:rPr>
              <w:t>运行控制管理程序</w:t>
            </w:r>
            <w:r>
              <w:rPr>
                <w:rFonts w:hint="eastAsia"/>
                <w:lang w:eastAsia="zh-CN"/>
              </w:rPr>
              <w:t>》</w:t>
            </w:r>
            <w:r>
              <w:rPr>
                <w:rFonts w:hint="eastAsia"/>
              </w:rPr>
              <w:t>等。</w:t>
            </w:r>
            <w:r>
              <w:rPr>
                <w:rFonts w:hint="eastAsia"/>
                <w:lang w:val="en-US" w:eastAsia="zh-CN"/>
              </w:rPr>
              <w:t>现场审核发现情况如下：</w:t>
            </w:r>
          </w:p>
          <w:p>
            <w:pPr>
              <w:spacing w:line="280" w:lineRule="exact"/>
              <w:ind w:firstLine="420" w:firstLineChars="200"/>
              <w:rPr>
                <w:rFonts w:hint="eastAsia"/>
              </w:rPr>
            </w:pPr>
            <w:r>
              <w:rPr>
                <w:rFonts w:hint="eastAsia"/>
              </w:rPr>
              <w:t>1</w:t>
            </w:r>
            <w:r>
              <w:rPr>
                <w:rFonts w:hint="eastAsia"/>
                <w:lang w:val="en-US" w:eastAsia="zh-CN"/>
              </w:rPr>
              <w:t>.</w:t>
            </w:r>
            <w:r>
              <w:rPr>
                <w:rFonts w:hint="eastAsia"/>
              </w:rPr>
              <w:t>固废管控</w:t>
            </w:r>
          </w:p>
          <w:p>
            <w:pPr>
              <w:spacing w:line="280" w:lineRule="exact"/>
              <w:ind w:firstLine="420" w:firstLineChars="200"/>
              <w:rPr>
                <w:rFonts w:hint="default"/>
                <w:lang w:val="en-US"/>
              </w:rPr>
            </w:pPr>
            <w:r>
              <w:rPr>
                <w:rFonts w:hint="eastAsia"/>
                <w:lang w:val="en-US" w:eastAsia="zh-CN"/>
              </w:rPr>
              <w:t>组织固废</w:t>
            </w:r>
            <w:r>
              <w:rPr>
                <w:rFonts w:hint="eastAsia"/>
              </w:rPr>
              <w:t>主要</w:t>
            </w:r>
            <w:r>
              <w:rPr>
                <w:rFonts w:hint="eastAsia"/>
                <w:lang w:val="en-US" w:eastAsia="zh-CN"/>
              </w:rPr>
              <w:t>包括</w:t>
            </w:r>
            <w:r>
              <w:rPr>
                <w:rFonts w:hint="eastAsia"/>
              </w:rPr>
              <w:t>生活垃圾</w:t>
            </w:r>
            <w:r>
              <w:rPr>
                <w:rFonts w:hint="eastAsia"/>
                <w:lang w:val="en-US" w:eastAsia="zh-CN"/>
              </w:rPr>
              <w:t>和废原料和包装纸，生活垃圾有进行分类存放并由当地环卫统一清运，废电子元器件由供方收回，废包装纸由第三方清运。</w:t>
            </w:r>
          </w:p>
          <w:p>
            <w:pPr>
              <w:spacing w:line="280" w:lineRule="exact"/>
              <w:ind w:firstLine="420" w:firstLineChars="200"/>
              <w:rPr>
                <w:rFonts w:hint="eastAsia"/>
              </w:rPr>
            </w:pPr>
            <w:r>
              <w:rPr>
                <w:rFonts w:hint="eastAsia"/>
              </w:rPr>
              <w:t>2</w:t>
            </w:r>
            <w:r>
              <w:rPr>
                <w:rFonts w:hint="eastAsia"/>
                <w:lang w:val="en-US" w:eastAsia="zh-CN"/>
              </w:rPr>
              <w:t>.</w:t>
            </w:r>
            <w:r>
              <w:rPr>
                <w:rFonts w:hint="eastAsia"/>
              </w:rPr>
              <w:t>废水管控</w:t>
            </w:r>
          </w:p>
          <w:p>
            <w:pPr>
              <w:spacing w:line="280" w:lineRule="exact"/>
              <w:ind w:firstLine="420" w:firstLineChars="200"/>
              <w:rPr>
                <w:rFonts w:hint="default"/>
                <w:lang w:val="en-US"/>
              </w:rPr>
            </w:pPr>
            <w:r>
              <w:rPr>
                <w:rFonts w:hint="eastAsia"/>
              </w:rPr>
              <w:t>主要</w:t>
            </w:r>
            <w:r>
              <w:rPr>
                <w:rFonts w:hint="eastAsia"/>
                <w:lang w:val="en-US" w:eastAsia="zh-CN"/>
              </w:rPr>
              <w:t>为</w:t>
            </w:r>
            <w:r>
              <w:rPr>
                <w:rFonts w:hint="eastAsia"/>
              </w:rPr>
              <w:t>生活废水</w:t>
            </w:r>
            <w:r>
              <w:rPr>
                <w:rFonts w:hint="eastAsia"/>
                <w:lang w:eastAsia="zh-CN"/>
              </w:rPr>
              <w:t>，</w:t>
            </w:r>
            <w:r>
              <w:rPr>
                <w:rFonts w:hint="eastAsia"/>
                <w:lang w:val="en-US" w:eastAsia="zh-CN"/>
              </w:rPr>
              <w:t>化粪池预处理后统一排入当地污水管网。</w:t>
            </w:r>
          </w:p>
          <w:p>
            <w:pPr>
              <w:spacing w:line="280" w:lineRule="exact"/>
              <w:ind w:firstLine="420" w:firstLineChars="200"/>
              <w:rPr>
                <w:rFonts w:hint="eastAsia"/>
              </w:rPr>
            </w:pPr>
            <w:r>
              <w:rPr>
                <w:rFonts w:hint="eastAsia"/>
              </w:rPr>
              <w:t>3</w:t>
            </w:r>
            <w:r>
              <w:rPr>
                <w:rFonts w:hint="eastAsia"/>
                <w:lang w:val="en-US" w:eastAsia="zh-CN"/>
              </w:rPr>
              <w:t>.</w:t>
            </w:r>
            <w:r>
              <w:rPr>
                <w:rFonts w:hint="eastAsia"/>
              </w:rPr>
              <w:t>废气管控</w:t>
            </w:r>
          </w:p>
          <w:p>
            <w:pPr>
              <w:spacing w:line="280" w:lineRule="exact"/>
              <w:ind w:firstLine="420" w:firstLineChars="200"/>
              <w:rPr>
                <w:rFonts w:hint="eastAsia"/>
              </w:rPr>
            </w:pPr>
            <w:r>
              <w:rPr>
                <w:rFonts w:hint="eastAsia"/>
              </w:rPr>
              <w:t>办公现场基本无废气排放</w:t>
            </w:r>
            <w:r>
              <w:rPr>
                <w:rFonts w:hint="eastAsia"/>
                <w:lang w:eastAsia="zh-CN"/>
              </w:rPr>
              <w:t>；</w:t>
            </w:r>
            <w:r>
              <w:rPr>
                <w:rFonts w:hint="eastAsia"/>
                <w:lang w:val="en-US" w:eastAsia="zh-CN"/>
              </w:rPr>
              <w:t>其它废气管控记录见生产部EO8.1。</w:t>
            </w:r>
          </w:p>
          <w:p>
            <w:pPr>
              <w:spacing w:line="280" w:lineRule="exact"/>
              <w:ind w:firstLine="420" w:firstLineChars="200"/>
              <w:rPr>
                <w:rFonts w:hint="eastAsia"/>
              </w:rPr>
            </w:pPr>
            <w:r>
              <w:rPr>
                <w:rFonts w:hint="eastAsia"/>
              </w:rPr>
              <w:t>4</w:t>
            </w:r>
            <w:r>
              <w:rPr>
                <w:rFonts w:hint="eastAsia"/>
                <w:lang w:val="en-US" w:eastAsia="zh-CN"/>
              </w:rPr>
              <w:t>.</w:t>
            </w:r>
            <w:r>
              <w:rPr>
                <w:rFonts w:hint="eastAsia"/>
              </w:rPr>
              <w:t>噪声管控</w:t>
            </w:r>
          </w:p>
          <w:p>
            <w:pPr>
              <w:spacing w:line="280" w:lineRule="exact"/>
              <w:ind w:firstLine="420" w:firstLineChars="200"/>
              <w:rPr>
                <w:rFonts w:hint="eastAsia"/>
              </w:rPr>
            </w:pPr>
            <w:r>
              <w:rPr>
                <w:rFonts w:hint="eastAsia"/>
                <w:lang w:val="en-US" w:eastAsia="zh-CN"/>
              </w:rPr>
              <w:t>厂区所属办公和生产区（锡焊、组装、检验等）基本无噪声产生</w:t>
            </w:r>
            <w:r>
              <w:rPr>
                <w:rFonts w:hint="eastAsia"/>
              </w:rPr>
              <w:t>。</w:t>
            </w:r>
          </w:p>
          <w:p>
            <w:pPr>
              <w:spacing w:line="280" w:lineRule="exact"/>
              <w:ind w:firstLine="420" w:firstLineChars="200"/>
              <w:rPr>
                <w:rFonts w:hint="eastAsia"/>
              </w:rPr>
            </w:pPr>
            <w:r>
              <w:rPr>
                <w:rFonts w:hint="eastAsia"/>
                <w:lang w:val="en-US" w:eastAsia="zh-CN"/>
              </w:rPr>
              <w:t>5.</w:t>
            </w:r>
            <w:r>
              <w:rPr>
                <w:rFonts w:hint="eastAsia"/>
              </w:rPr>
              <w:t>能源资源管控</w:t>
            </w:r>
          </w:p>
          <w:p>
            <w:pPr>
              <w:spacing w:line="280" w:lineRule="exact"/>
              <w:ind w:firstLine="420" w:firstLineChars="200"/>
              <w:rPr>
                <w:rFonts w:hint="eastAsia"/>
              </w:rPr>
            </w:pPr>
            <w:r>
              <w:rPr>
                <w:rFonts w:hint="eastAsia"/>
                <w:lang w:val="en-US" w:eastAsia="zh-CN"/>
              </w:rPr>
              <w:t>组织各场所</w:t>
            </w:r>
            <w:r>
              <w:rPr>
                <w:rFonts w:hint="eastAsia"/>
              </w:rPr>
              <w:t>注意节水、节电、节油，人走关闭开关，未发现有漏水和浪费电能的现象。</w:t>
            </w:r>
          </w:p>
          <w:p>
            <w:pPr>
              <w:spacing w:line="280" w:lineRule="exact"/>
              <w:ind w:firstLine="420" w:firstLineChars="200"/>
              <w:rPr>
                <w:rFonts w:hint="eastAsia"/>
              </w:rPr>
            </w:pPr>
            <w:r>
              <w:rPr>
                <w:rFonts w:hint="eastAsia"/>
              </w:rPr>
              <w:t>6</w:t>
            </w:r>
            <w:r>
              <w:rPr>
                <w:rFonts w:hint="eastAsia"/>
                <w:lang w:eastAsia="zh-CN"/>
              </w:rPr>
              <w:t>.</w:t>
            </w:r>
            <w:r>
              <w:rPr>
                <w:rFonts w:hint="eastAsia"/>
              </w:rPr>
              <w:t>潜在火灾管控</w:t>
            </w:r>
          </w:p>
          <w:p>
            <w:pPr>
              <w:spacing w:line="280" w:lineRule="exact"/>
              <w:ind w:firstLine="420" w:firstLineChars="200"/>
              <w:rPr>
                <w:rFonts w:hint="eastAsia"/>
                <w:lang w:val="en-US" w:eastAsia="zh-CN"/>
              </w:rPr>
            </w:pPr>
            <w:r>
              <w:rPr>
                <w:rFonts w:hint="eastAsia"/>
                <w:lang w:eastAsia="zh-CN"/>
              </w:rPr>
              <w:t>综合部</w:t>
            </w:r>
            <w:r>
              <w:rPr>
                <w:rFonts w:hint="eastAsia"/>
              </w:rPr>
              <w:t>现场配有</w:t>
            </w:r>
            <w:r>
              <w:rPr>
                <w:rFonts w:hint="eastAsia"/>
                <w:lang w:val="en-US" w:eastAsia="zh-CN"/>
              </w:rPr>
              <w:t>消防栓</w:t>
            </w:r>
            <w:r>
              <w:rPr>
                <w:rFonts w:hint="eastAsia"/>
              </w:rPr>
              <w:t>灭火器</w:t>
            </w:r>
            <w:r>
              <w:rPr>
                <w:rFonts w:hint="eastAsia"/>
                <w:lang w:eastAsia="zh-CN"/>
              </w:rPr>
              <w:t>，</w:t>
            </w:r>
            <w:r>
              <w:rPr>
                <w:rFonts w:hint="eastAsia"/>
                <w:lang w:val="en-US" w:eastAsia="zh-CN"/>
              </w:rPr>
              <w:t>均处于有效状态，且统一按月检查灭火器材的状态</w:t>
            </w:r>
            <w:r>
              <w:rPr>
                <w:rFonts w:hint="eastAsia"/>
              </w:rPr>
              <w:t>。</w:t>
            </w:r>
            <w:r>
              <w:rPr>
                <w:rFonts w:hint="eastAsia"/>
                <w:lang w:val="en-US" w:eastAsia="zh-CN"/>
              </w:rPr>
              <w:t>紧急情况应对见EO8.2。</w:t>
            </w:r>
          </w:p>
          <w:p>
            <w:pPr>
              <w:numPr>
                <w:ilvl w:val="0"/>
                <w:numId w:val="0"/>
              </w:numPr>
              <w:spacing w:line="280" w:lineRule="exact"/>
              <w:ind w:firstLine="420" w:firstLineChars="200"/>
              <w:rPr>
                <w:rFonts w:hint="eastAsia"/>
                <w:lang w:val="en-US" w:eastAsia="zh-CN"/>
              </w:rPr>
            </w:pPr>
            <w:r>
              <w:rPr>
                <w:rFonts w:hint="eastAsia"/>
                <w:lang w:val="en-US" w:eastAsia="zh-CN"/>
              </w:rPr>
              <w:t>7.资源投入</w:t>
            </w:r>
          </w:p>
          <w:p>
            <w:pPr>
              <w:numPr>
                <w:ilvl w:val="0"/>
                <w:numId w:val="0"/>
              </w:numPr>
              <w:spacing w:line="280" w:lineRule="exact"/>
              <w:rPr>
                <w:rFonts w:hint="default"/>
                <w:lang w:val="en-US" w:eastAsia="zh-CN"/>
              </w:rPr>
            </w:pPr>
            <w:r>
              <w:rPr>
                <w:rFonts w:hint="eastAsia"/>
                <w:lang w:val="en-US" w:eastAsia="zh-CN"/>
              </w:rPr>
              <w:t xml:space="preserve">    提供《环境、安全资金投入清单》：项目包括来及托运、垃圾箱、消防器材、安全标识、排污费用投入等共计1.97万元。</w:t>
            </w:r>
          </w:p>
          <w:p>
            <w:pPr>
              <w:spacing w:line="280" w:lineRule="exact"/>
              <w:ind w:firstLine="420" w:firstLineChars="200"/>
              <w:rPr>
                <w:rFonts w:hint="default" w:eastAsia="宋体"/>
                <w:lang w:val="en-US" w:eastAsia="zh-CN"/>
              </w:rPr>
            </w:pPr>
            <w:r>
              <w:rPr>
                <w:rFonts w:hint="eastAsia"/>
                <w:lang w:val="en-US" w:eastAsia="zh-CN"/>
              </w:rPr>
              <w:t>综合部总体环境策划和管控基本符合要求，其它策划、运行控制见各部门EO8.1记录。</w:t>
            </w:r>
          </w:p>
        </w:tc>
        <w:tc>
          <w:tcPr>
            <w:tcW w:w="723"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bidi w:val="0"/>
            </w:pPr>
            <w:r>
              <w:rPr>
                <w:rFonts w:hint="eastAsia"/>
              </w:rPr>
              <w:t>应急响应和准备</w:t>
            </w:r>
          </w:p>
        </w:tc>
        <w:tc>
          <w:tcPr>
            <w:tcW w:w="998" w:type="dxa"/>
          </w:tcPr>
          <w:p>
            <w:pPr>
              <w:bidi w:val="0"/>
            </w:pPr>
            <w:r>
              <w:rPr>
                <w:rFonts w:hint="eastAsia"/>
              </w:rPr>
              <w:t>E</w:t>
            </w:r>
            <w:r>
              <w:rPr>
                <w:rFonts w:hint="eastAsia"/>
                <w:lang w:val="en-US" w:eastAsia="zh-CN"/>
              </w:rPr>
              <w:t>O</w:t>
            </w:r>
            <w:r>
              <w:rPr>
                <w:rFonts w:hint="eastAsia"/>
              </w:rPr>
              <w:t>8.2</w:t>
            </w:r>
          </w:p>
        </w:tc>
        <w:tc>
          <w:tcPr>
            <w:tcW w:w="10866" w:type="dxa"/>
            <w:vAlign w:val="center"/>
          </w:tcPr>
          <w:p>
            <w:pPr>
              <w:bidi w:val="0"/>
              <w:ind w:firstLine="420" w:firstLineChars="200"/>
              <w:rPr>
                <w:rFonts w:hint="eastAsia"/>
                <w:lang w:val="en-US" w:eastAsia="zh-CN"/>
              </w:rPr>
            </w:pPr>
            <w:r>
              <w:rPr>
                <w:rFonts w:hint="eastAsia"/>
                <w:lang w:val="en-US" w:eastAsia="zh-CN"/>
              </w:rPr>
              <w:t>组织制定了《应急准备和响应程序》，识别紧急情况火灾和触电、均规定了相应的应急响应措施，并制定了《应急预案》。</w:t>
            </w:r>
          </w:p>
          <w:p>
            <w:pPr>
              <w:bidi w:val="0"/>
              <w:ind w:firstLine="420" w:firstLineChars="200"/>
              <w:rPr>
                <w:rFonts w:hint="eastAsia"/>
                <w:lang w:val="en-US" w:eastAsia="zh-CN"/>
              </w:rPr>
            </w:pPr>
            <w:r>
              <w:rPr>
                <w:rFonts w:hint="eastAsia"/>
                <w:lang w:val="en-US" w:eastAsia="zh-CN"/>
              </w:rPr>
              <w:t>提供了2021年5月10日上午进行的消防灭火演练，记录内容包括应急演习计划、应急演练记录和总结、教育培训签到表以及演练过程现场照片。查应急演练记录和总结：内容主要包括参与人员、设施、演练过程描述、有效性评审等；存在问题与改进措施：无；记录人：方国成；评审负责人：宋喜陵；时间：22021年5月10日</w:t>
            </w:r>
            <w:bookmarkStart w:id="5" w:name="_GoBack"/>
            <w:bookmarkEnd w:id="5"/>
            <w:r>
              <w:rPr>
                <w:rFonts w:hint="eastAsia"/>
                <w:lang w:val="en-US" w:eastAsia="zh-CN"/>
              </w:rPr>
              <w:t>。内容基本完整，演练当天完成，达到预期效果。</w:t>
            </w:r>
          </w:p>
          <w:p>
            <w:pPr>
              <w:bidi w:val="0"/>
              <w:ind w:firstLine="420" w:firstLineChars="200"/>
              <w:rPr>
                <w:rFonts w:hint="eastAsia"/>
                <w:lang w:val="en-US" w:eastAsia="zh-CN"/>
              </w:rPr>
            </w:pPr>
            <w:r>
              <w:rPr>
                <w:rFonts w:hint="eastAsia"/>
                <w:lang w:val="en-US" w:eastAsia="zh-CN"/>
              </w:rPr>
              <w:t>组织的应急响应和准备管理基本满足控制要求。</w:t>
            </w:r>
          </w:p>
        </w:tc>
        <w:tc>
          <w:tcPr>
            <w:tcW w:w="723"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22" w:type="dxa"/>
          </w:tcPr>
          <w:p>
            <w:pPr>
              <w:bidi w:val="0"/>
              <w:rPr>
                <w:rFonts w:hint="eastAsia"/>
                <w:lang w:val="en-US" w:eastAsia="zh-CN"/>
              </w:rPr>
            </w:pPr>
            <w:r>
              <w:rPr>
                <w:rFonts w:hint="eastAsia"/>
                <w:lang w:val="en-US" w:eastAsia="zh-CN"/>
              </w:rPr>
              <w:t>绩效 总则</w:t>
            </w:r>
          </w:p>
          <w:p>
            <w:pPr>
              <w:bidi w:val="0"/>
              <w:rPr>
                <w:rFonts w:hint="eastAsia"/>
                <w:lang w:val="en-US" w:eastAsia="zh-CN"/>
              </w:rPr>
            </w:pPr>
          </w:p>
        </w:tc>
        <w:tc>
          <w:tcPr>
            <w:tcW w:w="998" w:type="dxa"/>
          </w:tcPr>
          <w:p>
            <w:pPr>
              <w:bidi w:val="0"/>
              <w:rPr>
                <w:rFonts w:hint="eastAsia"/>
                <w:lang w:val="en-US" w:eastAsia="zh-CN"/>
              </w:rPr>
            </w:pPr>
            <w:r>
              <w:rPr>
                <w:rFonts w:hint="eastAsia"/>
                <w:lang w:val="en-US" w:eastAsia="zh-CN"/>
              </w:rPr>
              <w:t>EO9.1.1</w:t>
            </w:r>
          </w:p>
          <w:p>
            <w:pPr>
              <w:bidi w:val="0"/>
              <w:rPr>
                <w:rFonts w:hint="eastAsia"/>
                <w:lang w:val="en-US" w:eastAsia="zh-CN"/>
              </w:rPr>
            </w:pPr>
          </w:p>
        </w:tc>
        <w:tc>
          <w:tcPr>
            <w:tcW w:w="10866" w:type="dxa"/>
            <w:vAlign w:val="center"/>
          </w:tcPr>
          <w:p>
            <w:pPr>
              <w:bidi w:val="0"/>
              <w:ind w:firstLine="420" w:firstLineChars="200"/>
              <w:rPr>
                <w:rFonts w:hint="eastAsia"/>
              </w:rPr>
            </w:pPr>
            <w:r>
              <w:rPr>
                <w:rFonts w:hint="eastAsia"/>
                <w:lang w:eastAsia="zh-CN"/>
              </w:rPr>
              <w:t>综合部</w:t>
            </w:r>
            <w:r>
              <w:rPr>
                <w:rFonts w:hint="eastAsia"/>
              </w:rPr>
              <w:t>对管理体系的过程能力进行监视和测量，通过内审对管理体系运行的符合性和有效性进行监测，结论管理体系总体运行有效。详见审核9.2条款；通过管理评审对管理体系的充分性、有效性和适宜性作了肯定的评价。详见</w:t>
            </w:r>
            <w:r>
              <w:rPr>
                <w:rFonts w:hint="eastAsia"/>
                <w:lang w:val="en-US" w:eastAsia="zh-CN"/>
              </w:rPr>
              <w:t>EO</w:t>
            </w:r>
            <w:r>
              <w:rPr>
                <w:rFonts w:hint="eastAsia"/>
              </w:rPr>
              <w:t>9.2条款记录；通过目标考评，监测管理体系运行的有效性，提供了</w:t>
            </w:r>
            <w:r>
              <w:rPr>
                <w:rFonts w:hint="eastAsia"/>
                <w:lang w:val="en-US" w:eastAsia="zh-CN"/>
              </w:rPr>
              <w:t>2021</w:t>
            </w:r>
            <w:r>
              <w:rPr>
                <w:rFonts w:hint="eastAsia"/>
              </w:rPr>
              <w:t>年度的目标</w:t>
            </w:r>
            <w:r>
              <w:rPr>
                <w:rFonts w:hint="eastAsia"/>
                <w:lang w:val="en-US" w:eastAsia="zh-CN"/>
              </w:rPr>
              <w:t>已</w:t>
            </w:r>
            <w:r>
              <w:rPr>
                <w:rFonts w:hint="eastAsia"/>
              </w:rPr>
              <w:t>完成情况，</w:t>
            </w:r>
            <w:r>
              <w:rPr>
                <w:rFonts w:hint="eastAsia"/>
                <w:lang w:val="en-US" w:eastAsia="zh-CN"/>
              </w:rPr>
              <w:t>组织</w:t>
            </w:r>
            <w:r>
              <w:rPr>
                <w:rFonts w:hint="eastAsia"/>
              </w:rPr>
              <w:t>及</w:t>
            </w:r>
            <w:r>
              <w:rPr>
                <w:rFonts w:hint="eastAsia"/>
                <w:lang w:val="en-US" w:eastAsia="zh-CN"/>
              </w:rPr>
              <w:t>其</w:t>
            </w:r>
            <w:r>
              <w:rPr>
                <w:rFonts w:hint="eastAsia"/>
              </w:rPr>
              <w:t>各部门的管理目标均能完成。</w:t>
            </w:r>
          </w:p>
          <w:p>
            <w:pPr>
              <w:bidi w:val="0"/>
              <w:ind w:firstLine="420" w:firstLineChars="200"/>
              <w:rPr>
                <w:rFonts w:hint="eastAsia"/>
                <w:lang w:val="en-US" w:eastAsia="zh-CN"/>
              </w:rPr>
            </w:pPr>
            <w:r>
              <w:rPr>
                <w:rFonts w:hint="eastAsia"/>
                <w:lang w:val="en-US" w:eastAsia="zh-CN"/>
              </w:rPr>
              <w:t>其它监视测量抽查如下：</w:t>
            </w:r>
          </w:p>
          <w:p>
            <w:pPr>
              <w:bidi w:val="0"/>
              <w:rPr>
                <w:rFonts w:hint="default"/>
                <w:lang w:val="en-US" w:eastAsia="zh-CN"/>
              </w:rPr>
            </w:pPr>
            <w:r>
              <w:rPr>
                <w:rFonts w:hint="eastAsia"/>
                <w:lang w:val="en-US" w:eastAsia="zh-CN"/>
              </w:rPr>
              <w:t xml:space="preserve">    提供员工体检《药品、医疗器械从业人员健康体检表》22份，抽查体检档案2份：①姓名：袁群芳；岗位：生产部锡焊；体检结论：未见明显异常；②姓名：皇甫倩琴；岗位：生产部接线；体检结论：未见明显异常。</w:t>
            </w:r>
          </w:p>
          <w:p>
            <w:pPr>
              <w:bidi w:val="0"/>
              <w:ind w:firstLine="420" w:firstLineChars="200"/>
              <w:rPr>
                <w:rFonts w:hint="default"/>
                <w:lang w:val="en-US" w:eastAsia="zh-CN"/>
              </w:rPr>
            </w:pPr>
            <w:r>
              <w:rPr>
                <w:rFonts w:hint="eastAsia"/>
                <w:lang w:val="en-US" w:eastAsia="zh-CN"/>
              </w:rPr>
              <w:t>无环境监测记录。</w:t>
            </w:r>
          </w:p>
          <w:p>
            <w:pPr>
              <w:bidi w:val="0"/>
              <w:ind w:firstLine="420" w:firstLineChars="200"/>
              <w:rPr>
                <w:rFonts w:hint="eastAsia" w:ascii="宋体" w:hAnsi="宋体" w:cs="宋体"/>
                <w:szCs w:val="21"/>
              </w:rPr>
            </w:pPr>
            <w:r>
              <w:rPr>
                <w:rFonts w:hint="eastAsia"/>
                <w:lang w:val="en-US" w:eastAsia="zh-CN"/>
              </w:rPr>
              <w:t>无工作场所危害因素监测记录。</w:t>
            </w:r>
          </w:p>
        </w:tc>
        <w:tc>
          <w:tcPr>
            <w:tcW w:w="723"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22" w:type="dxa"/>
          </w:tcPr>
          <w:p>
            <w:pPr>
              <w:bidi w:val="0"/>
              <w:rPr>
                <w:rFonts w:hint="default"/>
                <w:lang w:val="en-US" w:eastAsia="zh-CN"/>
              </w:rPr>
            </w:pPr>
            <w:r>
              <w:rPr>
                <w:rFonts w:hint="eastAsia"/>
                <w:lang w:val="en-US" w:eastAsia="zh-CN"/>
              </w:rPr>
              <w:t>内部审核</w:t>
            </w:r>
          </w:p>
        </w:tc>
        <w:tc>
          <w:tcPr>
            <w:tcW w:w="998" w:type="dxa"/>
          </w:tcPr>
          <w:p>
            <w:pPr>
              <w:bidi w:val="0"/>
              <w:rPr>
                <w:rFonts w:hint="default"/>
                <w:lang w:val="en-US" w:eastAsia="zh-CN"/>
              </w:rPr>
            </w:pPr>
            <w:r>
              <w:rPr>
                <w:rFonts w:hint="eastAsia"/>
                <w:lang w:val="en-US" w:eastAsia="zh-CN"/>
              </w:rPr>
              <w:t>EO9.2</w:t>
            </w:r>
          </w:p>
        </w:tc>
        <w:tc>
          <w:tcPr>
            <w:tcW w:w="10866" w:type="dxa"/>
            <w:vAlign w:val="center"/>
          </w:tcPr>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组织根据制定的《内部审核控制程序》进行内部审核过程控制。提供内审记录，抽查内容如下：</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查2021年12月15日制定的内部审核计划：计划审核时间：2022年12月17日-18日；内容包括审核目的、审核范围、审核准则、审核具体日程安排、编制批准等，内容完整，能够满足策划要求。</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查首末次会议 签到表：审核组：马宏生/吕强：手签记录显示，总经理、管理者代表、综合部、生产部、技质部等各部门参与了内部审核的首末次会议；</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提供《内审检查表》，内容包括条款号、检查内容、检查记录和结果判定等，记录显示，组织审核组有按照计划要求进行，满足执行要求。</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查《内审不符合报告》，与EO相关的共计1项：</w:t>
            </w:r>
            <w:r>
              <w:rPr>
                <w:rFonts w:hint="eastAsia" w:ascii="等线" w:hAnsi="等线" w:eastAsia="等线" w:cs="等线"/>
                <w:color w:val="auto"/>
                <w:lang w:val="en-US" w:eastAsia="zh-CN"/>
              </w:rPr>
              <w:t>《中华人民共和国传染病防治法》、《中华人民共和国节约能源法》未收集到法律法规清单中。不符合条款依据</w:t>
            </w:r>
            <w:r>
              <w:rPr>
                <w:rFonts w:hint="eastAsia" w:ascii="等线" w:hAnsi="等线" w:eastAsia="等线" w:cs="等线"/>
                <w:lang w:val="en-US" w:eastAsia="zh-CN"/>
              </w:rPr>
              <w:t>正确，原因分析有待加强。不符合均已完成整改并验证有效，与审核发现的情况吻合。</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查《2021年度内部审核报告》中内部审核结论记录如下：本次内审发现1个EO相关的不符合项，属一般不符合，总体结论：管理体系适宜、充分、有效。</w:t>
            </w:r>
          </w:p>
          <w:p>
            <w:pPr>
              <w:spacing w:line="280" w:lineRule="exact"/>
              <w:ind w:firstLine="420" w:firstLineChars="200"/>
              <w:rPr>
                <w:rFonts w:hint="eastAsia" w:ascii="等线" w:hAnsi="等线" w:eastAsia="等线" w:cs="等线"/>
                <w:color w:val="FF0000"/>
                <w:lang w:val="en-US" w:eastAsia="zh-CN"/>
              </w:rPr>
            </w:pPr>
            <w:r>
              <w:rPr>
                <w:rFonts w:hint="eastAsia" w:ascii="等线" w:hAnsi="等线" w:eastAsia="等线" w:cs="等线"/>
                <w:lang w:val="en-US" w:eastAsia="zh-CN"/>
              </w:rPr>
              <w:t>综上，组织的内部审核除需不断改进外，控制基本有效。</w:t>
            </w:r>
          </w:p>
        </w:tc>
        <w:tc>
          <w:tcPr>
            <w:tcW w:w="72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bidi w:val="0"/>
              <w:rPr>
                <w:rFonts w:hint="default"/>
                <w:lang w:val="en-US" w:eastAsia="zh-CN"/>
              </w:rPr>
            </w:pPr>
            <w:r>
              <w:rPr>
                <w:rFonts w:hint="eastAsia"/>
                <w:lang w:val="en-US" w:eastAsia="zh-CN"/>
              </w:rPr>
              <w:t>不合格和纠正措施</w:t>
            </w:r>
          </w:p>
        </w:tc>
        <w:tc>
          <w:tcPr>
            <w:tcW w:w="998" w:type="dxa"/>
          </w:tcPr>
          <w:p>
            <w:pPr>
              <w:bidi w:val="0"/>
              <w:rPr>
                <w:rFonts w:hint="default"/>
                <w:lang w:val="en-US" w:eastAsia="zh-CN"/>
              </w:rPr>
            </w:pPr>
            <w:r>
              <w:rPr>
                <w:rFonts w:hint="eastAsia"/>
                <w:lang w:val="en-US" w:eastAsia="zh-CN"/>
              </w:rPr>
              <w:t>EO10.2</w:t>
            </w:r>
          </w:p>
        </w:tc>
        <w:tc>
          <w:tcPr>
            <w:tcW w:w="10866" w:type="dxa"/>
            <w:vAlign w:val="center"/>
          </w:tcPr>
          <w:p>
            <w:pPr>
              <w:bidi w:val="0"/>
              <w:ind w:firstLine="420" w:firstLineChars="200"/>
              <w:rPr>
                <w:rFonts w:hint="eastAsia"/>
                <w:lang w:val="en-US" w:eastAsia="zh-CN"/>
              </w:rPr>
            </w:pPr>
            <w:r>
              <w:rPr>
                <w:rFonts w:hint="eastAsia"/>
                <w:lang w:val="en-US" w:eastAsia="zh-CN"/>
              </w:rPr>
              <w:t>组织</w:t>
            </w:r>
            <w:r>
              <w:rPr>
                <w:rFonts w:hint="eastAsia"/>
                <w:lang w:eastAsia="zh-CN"/>
              </w:rPr>
              <w:t>制定了《纠正和预防措施控制程序》、《事故处理控制程序》等相关文件化信息</w:t>
            </w:r>
            <w:r>
              <w:rPr>
                <w:rFonts w:hint="eastAsia"/>
                <w:lang w:val="en-US" w:eastAsia="zh-CN"/>
              </w:rPr>
              <w:t>要求，并考虑了分析、评价结果，确定是否存在应关注的持续改进的需求和机遇，组织利用管理方针、目标、内审和外审、数据分析、纠正和预防措施以及管理评审，识别任何改进的机会，持续改进管理体系的适宜性、充分性和有效性。不符合和纠正措施的相关条款见内审、管理评审等相关审核记录。</w:t>
            </w:r>
          </w:p>
          <w:p>
            <w:pPr>
              <w:bidi w:val="0"/>
              <w:ind w:firstLine="420" w:firstLineChars="200"/>
              <w:rPr>
                <w:rFonts w:hint="eastAsia"/>
                <w:lang w:eastAsia="zh-CN"/>
              </w:rPr>
            </w:pPr>
            <w:r>
              <w:rPr>
                <w:rFonts w:hint="eastAsia"/>
                <w:lang w:val="en-US" w:eastAsia="zh-CN"/>
              </w:rPr>
              <w:t>综合部方国成介绍：组织在运行过程中对发现的不合格都会采取纠正措施，分析原因，举一反三地看待其他部门或类似过程，采取预防措施以防止发生不合格或不符合。抽查F/CX-10.2-01/A0《不符合、纠正措施报告》：问题描述明确，原因分析合理，纠正措施经验证有效；责任人：方国成；时间：2021.11.16；验证人：陈胜华；时间：2021.11.18。</w:t>
            </w:r>
          </w:p>
        </w:tc>
        <w:tc>
          <w:tcPr>
            <w:tcW w:w="723" w:type="dxa"/>
          </w:tcPr>
          <w:p>
            <w:pPr>
              <w:rPr>
                <w:rFonts w:hint="eastAsia" w:eastAsia="华文细黑"/>
                <w:lang w:val="en-US" w:eastAsia="zh-CN"/>
              </w:rPr>
            </w:pPr>
            <w:r>
              <w:rPr>
                <w:rFonts w:hint="eastAsia"/>
                <w:lang w:val="en-US" w:eastAsia="zh-CN"/>
              </w:rPr>
              <w:t>Y</w:t>
            </w:r>
          </w:p>
        </w:tc>
      </w:tr>
    </w:tbl>
    <w:p>
      <w:r>
        <w:ptab w:relativeTo="margin" w:alignment="center" w:leader="none"/>
      </w:r>
    </w:p>
    <w:p>
      <w:pPr>
        <w:pStyle w:val="5"/>
        <w:rPr>
          <w:rFonts w:hint="default" w:eastAsia="宋体"/>
          <w:lang w:val="en-US" w:eastAsia="zh-CN"/>
        </w:rPr>
      </w:pPr>
      <w:r>
        <w:rPr>
          <w:rFonts w:hint="eastAsia"/>
        </w:rPr>
        <w:t>说明：不符合标注N</w:t>
      </w:r>
      <w:r>
        <w:rPr>
          <w:rFonts w:hint="eastAsia"/>
          <w:lang w:val="en-US" w:eastAsia="zh-CN"/>
        </w:rPr>
        <w:t xml:space="preserve">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3" name="文本框 3"/>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ETYAAAACwEAAA8AAAAAAAAAAQAgAAAAIgAAAGRycy9kb3ducmV2&#10;LnhtbFBLAQIUABQAAAAIAIdO4kDyJDd0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440B"/>
    <w:rsid w:val="0092791F"/>
    <w:rsid w:val="00954D65"/>
    <w:rsid w:val="00955C0E"/>
    <w:rsid w:val="00976860"/>
    <w:rsid w:val="00991AEB"/>
    <w:rsid w:val="00992529"/>
    <w:rsid w:val="009977CF"/>
    <w:rsid w:val="009B1072"/>
    <w:rsid w:val="00A01526"/>
    <w:rsid w:val="00A02B09"/>
    <w:rsid w:val="00A30F85"/>
    <w:rsid w:val="00A52229"/>
    <w:rsid w:val="00A76F84"/>
    <w:rsid w:val="00A86196"/>
    <w:rsid w:val="00A94706"/>
    <w:rsid w:val="00AB5CF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1222F3D"/>
    <w:rsid w:val="01E92DC0"/>
    <w:rsid w:val="05437D45"/>
    <w:rsid w:val="058D5559"/>
    <w:rsid w:val="064424ED"/>
    <w:rsid w:val="0673692E"/>
    <w:rsid w:val="06E1670D"/>
    <w:rsid w:val="07341FC1"/>
    <w:rsid w:val="075127A0"/>
    <w:rsid w:val="07855257"/>
    <w:rsid w:val="07EA2CB9"/>
    <w:rsid w:val="089C0261"/>
    <w:rsid w:val="08E51639"/>
    <w:rsid w:val="091837BC"/>
    <w:rsid w:val="09304FAA"/>
    <w:rsid w:val="0A1C5403"/>
    <w:rsid w:val="0A492D8D"/>
    <w:rsid w:val="0A755CD1"/>
    <w:rsid w:val="0C5E1582"/>
    <w:rsid w:val="0C9358E9"/>
    <w:rsid w:val="0CF5079A"/>
    <w:rsid w:val="0D1C01B9"/>
    <w:rsid w:val="0D415216"/>
    <w:rsid w:val="0DF17A44"/>
    <w:rsid w:val="0E8301D4"/>
    <w:rsid w:val="0EC4763F"/>
    <w:rsid w:val="0FFD0285"/>
    <w:rsid w:val="11287383"/>
    <w:rsid w:val="11B844E6"/>
    <w:rsid w:val="12A06CFD"/>
    <w:rsid w:val="14151024"/>
    <w:rsid w:val="170828FD"/>
    <w:rsid w:val="171C76AA"/>
    <w:rsid w:val="175F70AE"/>
    <w:rsid w:val="17782D5C"/>
    <w:rsid w:val="17DC5C42"/>
    <w:rsid w:val="180D3CE3"/>
    <w:rsid w:val="197A5A32"/>
    <w:rsid w:val="19906B90"/>
    <w:rsid w:val="19D87115"/>
    <w:rsid w:val="19DC27C4"/>
    <w:rsid w:val="1DD261D8"/>
    <w:rsid w:val="1DEB15F3"/>
    <w:rsid w:val="1DFC4F07"/>
    <w:rsid w:val="1E7D279D"/>
    <w:rsid w:val="1E9E60BA"/>
    <w:rsid w:val="1ECC70CB"/>
    <w:rsid w:val="1F0A64FA"/>
    <w:rsid w:val="1F9B6F21"/>
    <w:rsid w:val="20D72FCC"/>
    <w:rsid w:val="21FD7450"/>
    <w:rsid w:val="223D262F"/>
    <w:rsid w:val="22712221"/>
    <w:rsid w:val="22AE0FC2"/>
    <w:rsid w:val="22ED2453"/>
    <w:rsid w:val="234E6301"/>
    <w:rsid w:val="23963804"/>
    <w:rsid w:val="23EA427B"/>
    <w:rsid w:val="24BC729A"/>
    <w:rsid w:val="24D76950"/>
    <w:rsid w:val="25911489"/>
    <w:rsid w:val="25E96933"/>
    <w:rsid w:val="276E31A4"/>
    <w:rsid w:val="28D15A0A"/>
    <w:rsid w:val="29254418"/>
    <w:rsid w:val="2A4F74BC"/>
    <w:rsid w:val="2A5D518C"/>
    <w:rsid w:val="2C1B5A51"/>
    <w:rsid w:val="2CBA2FB1"/>
    <w:rsid w:val="2D183950"/>
    <w:rsid w:val="2D196654"/>
    <w:rsid w:val="2D314CC9"/>
    <w:rsid w:val="2D941C84"/>
    <w:rsid w:val="2DAF3E40"/>
    <w:rsid w:val="2F965A69"/>
    <w:rsid w:val="2FAF3D23"/>
    <w:rsid w:val="2FE01DCE"/>
    <w:rsid w:val="318200EF"/>
    <w:rsid w:val="31C03786"/>
    <w:rsid w:val="31E22281"/>
    <w:rsid w:val="336D071C"/>
    <w:rsid w:val="354E30F0"/>
    <w:rsid w:val="35657B7F"/>
    <w:rsid w:val="383366A9"/>
    <w:rsid w:val="38C369F1"/>
    <w:rsid w:val="38DF3F58"/>
    <w:rsid w:val="396A7288"/>
    <w:rsid w:val="3AB03790"/>
    <w:rsid w:val="3AD27E7E"/>
    <w:rsid w:val="3C9235B3"/>
    <w:rsid w:val="3CF31B91"/>
    <w:rsid w:val="3D413ADE"/>
    <w:rsid w:val="3EC62F27"/>
    <w:rsid w:val="3ED4054E"/>
    <w:rsid w:val="3F3C4DFA"/>
    <w:rsid w:val="3F723484"/>
    <w:rsid w:val="3FAF2A7C"/>
    <w:rsid w:val="40CB5C4E"/>
    <w:rsid w:val="4132239B"/>
    <w:rsid w:val="41984EBF"/>
    <w:rsid w:val="419D005E"/>
    <w:rsid w:val="41AC627D"/>
    <w:rsid w:val="437E1E93"/>
    <w:rsid w:val="439C18DC"/>
    <w:rsid w:val="44314CA3"/>
    <w:rsid w:val="470E1780"/>
    <w:rsid w:val="487A454A"/>
    <w:rsid w:val="494616A5"/>
    <w:rsid w:val="4A327F35"/>
    <w:rsid w:val="4AA2027E"/>
    <w:rsid w:val="4AE7656F"/>
    <w:rsid w:val="4AF60EA8"/>
    <w:rsid w:val="4B103D18"/>
    <w:rsid w:val="4C612351"/>
    <w:rsid w:val="4C6A33D7"/>
    <w:rsid w:val="4D3B1A90"/>
    <w:rsid w:val="4D3F2693"/>
    <w:rsid w:val="4D6F422A"/>
    <w:rsid w:val="4D782049"/>
    <w:rsid w:val="4DED56EF"/>
    <w:rsid w:val="4EDA3F1F"/>
    <w:rsid w:val="4F6512F6"/>
    <w:rsid w:val="4F8F2F71"/>
    <w:rsid w:val="4FE958A7"/>
    <w:rsid w:val="4FF01955"/>
    <w:rsid w:val="4FFA55D8"/>
    <w:rsid w:val="5042237C"/>
    <w:rsid w:val="505E0BBB"/>
    <w:rsid w:val="50820225"/>
    <w:rsid w:val="51780EAC"/>
    <w:rsid w:val="52320A18"/>
    <w:rsid w:val="5276087F"/>
    <w:rsid w:val="53AF7E46"/>
    <w:rsid w:val="54EB3100"/>
    <w:rsid w:val="55287EB0"/>
    <w:rsid w:val="554E6727"/>
    <w:rsid w:val="55C0458D"/>
    <w:rsid w:val="55D126C3"/>
    <w:rsid w:val="57014E5D"/>
    <w:rsid w:val="587C7A7D"/>
    <w:rsid w:val="5A407357"/>
    <w:rsid w:val="5B7E7547"/>
    <w:rsid w:val="5BE56AFB"/>
    <w:rsid w:val="5C1D4074"/>
    <w:rsid w:val="5D144A17"/>
    <w:rsid w:val="5DF415FE"/>
    <w:rsid w:val="5E6C1D1C"/>
    <w:rsid w:val="5EB558FD"/>
    <w:rsid w:val="5F0B4ACB"/>
    <w:rsid w:val="5FBE27A7"/>
    <w:rsid w:val="600D6833"/>
    <w:rsid w:val="603C0CB4"/>
    <w:rsid w:val="604167CD"/>
    <w:rsid w:val="609069B4"/>
    <w:rsid w:val="61E37639"/>
    <w:rsid w:val="648E19E2"/>
    <w:rsid w:val="64FC6544"/>
    <w:rsid w:val="662D16DE"/>
    <w:rsid w:val="665B3758"/>
    <w:rsid w:val="66A91828"/>
    <w:rsid w:val="66E44433"/>
    <w:rsid w:val="67042216"/>
    <w:rsid w:val="67535261"/>
    <w:rsid w:val="67A97F8B"/>
    <w:rsid w:val="67B6759E"/>
    <w:rsid w:val="681349F0"/>
    <w:rsid w:val="682E35D8"/>
    <w:rsid w:val="693115D2"/>
    <w:rsid w:val="696574CD"/>
    <w:rsid w:val="6C133210"/>
    <w:rsid w:val="6C533CDC"/>
    <w:rsid w:val="6CC67584"/>
    <w:rsid w:val="6D204310"/>
    <w:rsid w:val="6D2B1652"/>
    <w:rsid w:val="6DD15131"/>
    <w:rsid w:val="6DD35F97"/>
    <w:rsid w:val="6EFC4430"/>
    <w:rsid w:val="6FDF3B3D"/>
    <w:rsid w:val="70094B30"/>
    <w:rsid w:val="70397EA7"/>
    <w:rsid w:val="70744DA7"/>
    <w:rsid w:val="7275252F"/>
    <w:rsid w:val="73267548"/>
    <w:rsid w:val="73463CA7"/>
    <w:rsid w:val="73D37852"/>
    <w:rsid w:val="747D06DB"/>
    <w:rsid w:val="74E9035E"/>
    <w:rsid w:val="7611123B"/>
    <w:rsid w:val="76947DB5"/>
    <w:rsid w:val="769B62DC"/>
    <w:rsid w:val="7709516F"/>
    <w:rsid w:val="79236319"/>
    <w:rsid w:val="79334EF2"/>
    <w:rsid w:val="79BA292F"/>
    <w:rsid w:val="79BF33E8"/>
    <w:rsid w:val="7A9B2D4F"/>
    <w:rsid w:val="7C3D32C5"/>
    <w:rsid w:val="7C5A2796"/>
    <w:rsid w:val="7D511DEB"/>
    <w:rsid w:val="7E1C5F55"/>
    <w:rsid w:val="7E8F49E0"/>
    <w:rsid w:val="7FD44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 w:type="paragraph" w:customStyle="1" w:styleId="15">
    <w:name w:val="_Style 2"/>
    <w:basedOn w:val="1"/>
    <w:qFormat/>
    <w:uiPriority w:val="34"/>
    <w:pPr>
      <w:ind w:firstLine="420" w:firstLineChars="200"/>
    </w:pPr>
    <w:rPr>
      <w:rFonts w:ascii="Calibri" w:hAnsi="Calibri"/>
      <w:sz w:val="24"/>
      <w:szCs w:val="22"/>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5401</Words>
  <Characters>5842</Characters>
  <Lines>38</Lines>
  <Paragraphs>10</Paragraphs>
  <TotalTime>0</TotalTime>
  <ScaleCrop>false</ScaleCrop>
  <LinksUpToDate>false</LinksUpToDate>
  <CharactersWithSpaces>5874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李凤仪</cp:lastModifiedBy>
  <dcterms:modified xsi:type="dcterms:W3CDTF">2022-03-28T06:09:50Z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A0644AA990924E149C1B43D5F28FF50F</vt:lpwstr>
  </property>
</Properties>
</file>