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tbl>
      <w:tblPr>
        <w:tblStyle w:val="9"/>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056"/>
        <w:gridCol w:w="11816"/>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98" w:type="pct"/>
            <w:vMerge w:val="restart"/>
            <w:noWrap w:val="0"/>
            <w:vAlign w:val="center"/>
          </w:tcPr>
          <w:p>
            <w:pPr>
              <w:spacing w:before="1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过程与活动、抽样计划</w:t>
            </w:r>
          </w:p>
        </w:tc>
        <w:tc>
          <w:tcPr>
            <w:tcW w:w="356"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涉及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条款</w:t>
            </w:r>
          </w:p>
        </w:tc>
        <w:tc>
          <w:tcPr>
            <w:tcW w:w="3985" w:type="pct"/>
            <w:noWrap w:val="0"/>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受审核部门：</w:t>
            </w:r>
            <w:r>
              <w:rPr>
                <w:rFonts w:hint="eastAsia" w:asciiTheme="minorEastAsia" w:hAnsiTheme="minorEastAsia" w:eastAsiaTheme="minorEastAsia" w:cstheme="minorEastAsia"/>
                <w:color w:val="auto"/>
                <w:kern w:val="2"/>
                <w:sz w:val="21"/>
                <w:szCs w:val="21"/>
                <w:lang w:val="en-US" w:eastAsia="zh-CN" w:bidi="ar"/>
              </w:rPr>
              <w:t>销售部</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主管领导：</w:t>
            </w:r>
            <w:r>
              <w:rPr>
                <w:rFonts w:hint="eastAsia" w:asciiTheme="minorEastAsia" w:hAnsiTheme="minorEastAsia" w:eastAsiaTheme="minorEastAsia" w:cstheme="minorEastAsia"/>
                <w:sz w:val="21"/>
                <w:szCs w:val="21"/>
                <w:lang w:val="en-US" w:eastAsia="zh-CN"/>
              </w:rPr>
              <w:t>黄振益</w:t>
            </w:r>
          </w:p>
        </w:tc>
        <w:tc>
          <w:tcPr>
            <w:tcW w:w="160" w:type="pct"/>
            <w:vMerge w:val="restart"/>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98"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85" w:type="pct"/>
            <w:noWrap w:val="0"/>
            <w:vAlign w:val="center"/>
          </w:tcPr>
          <w:p>
            <w:pPr>
              <w:spacing w:before="1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审核员：</w:t>
            </w:r>
            <w:r>
              <w:rPr>
                <w:rFonts w:hint="eastAsia" w:asciiTheme="minorEastAsia" w:hAnsiTheme="minorEastAsia" w:eastAsiaTheme="minorEastAsia" w:cstheme="minorEastAsia"/>
                <w:sz w:val="21"/>
                <w:szCs w:val="21"/>
                <w:lang w:val="en-US" w:eastAsia="zh-CN"/>
              </w:rPr>
              <w:t xml:space="preserve"> 张磊             </w:t>
            </w:r>
            <w:r>
              <w:rPr>
                <w:rFonts w:hint="eastAsia" w:asciiTheme="minorEastAsia" w:hAnsiTheme="minorEastAsia" w:eastAsiaTheme="minorEastAsia" w:cstheme="minorEastAsia"/>
                <w:sz w:val="21"/>
                <w:szCs w:val="21"/>
              </w:rPr>
              <w:t>审核时间：</w:t>
            </w:r>
            <w:r>
              <w:rPr>
                <w:rFonts w:hint="eastAsia" w:asciiTheme="minorEastAsia" w:hAnsiTheme="minorEastAsia" w:eastAsiaTheme="minorEastAsia" w:cstheme="minorEastAsia"/>
                <w:sz w:val="21"/>
                <w:szCs w:val="21"/>
                <w:lang w:val="en-US" w:eastAsia="zh-CN"/>
              </w:rPr>
              <w:t>2022年3月15</w:t>
            </w:r>
          </w:p>
        </w:tc>
        <w:tc>
          <w:tcPr>
            <w:tcW w:w="160"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8"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56" w:type="pct"/>
            <w:vMerge w:val="continue"/>
            <w:noWrap w:val="0"/>
            <w:vAlign w:val="center"/>
          </w:tcPr>
          <w:p>
            <w:pPr>
              <w:rPr>
                <w:rFonts w:hint="eastAsia" w:asciiTheme="minorEastAsia" w:hAnsiTheme="minorEastAsia" w:eastAsiaTheme="minorEastAsia" w:cstheme="minorEastAsia"/>
                <w:color w:val="auto"/>
                <w:sz w:val="21"/>
                <w:szCs w:val="21"/>
              </w:rPr>
            </w:pPr>
          </w:p>
        </w:tc>
        <w:tc>
          <w:tcPr>
            <w:tcW w:w="3985" w:type="pct"/>
            <w:noWrap w:val="0"/>
            <w:vAlign w:val="center"/>
          </w:tcPr>
          <w:p>
            <w:pPr>
              <w:keepNext w:val="0"/>
              <w:keepLines w:val="0"/>
              <w:widowControl w:val="0"/>
              <w:suppressLineNumbers w:val="0"/>
              <w:snapToGrid w:val="0"/>
              <w:spacing w:before="0" w:beforeAutospacing="0" w:after="0" w:afterAutospacing="0" w:line="260" w:lineRule="exac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审核条款：</w:t>
            </w:r>
          </w:p>
          <w:p>
            <w:pPr>
              <w:snapToGrid w:val="0"/>
              <w:spacing w:line="240" w:lineRule="exact"/>
              <w:rPr>
                <w:rFonts w:hint="eastAsia"/>
                <w:lang w:val="en-US" w:eastAsia="zh-CN"/>
              </w:rPr>
            </w:pPr>
            <w:r>
              <w:rPr>
                <w:rFonts w:hint="eastAsia" w:ascii="Times New Roman" w:hAnsi="Times New Roman" w:cs="Times New Roman"/>
                <w:sz w:val="20"/>
                <w:lang w:val="de-DE"/>
              </w:rPr>
              <w:t>QMS-2015</w:t>
            </w:r>
          </w:p>
          <w:p>
            <w:pPr>
              <w:snapToGrid w:val="0"/>
              <w:spacing w:line="240" w:lineRule="exact"/>
              <w:rPr>
                <w:rFonts w:hint="eastAsia" w:ascii="宋体" w:hAnsi="宋体" w:cs="新宋体"/>
                <w:sz w:val="18"/>
                <w:szCs w:val="18"/>
              </w:rPr>
            </w:pPr>
            <w:r>
              <w:rPr>
                <w:rFonts w:hint="eastAsia" w:ascii="宋体" w:hAnsi="宋体" w:cs="新宋体"/>
                <w:sz w:val="18"/>
                <w:szCs w:val="18"/>
              </w:rPr>
              <w:t>5.3岗位/职责 /权限；6.2质量目标及其实现的策划；7.1.3基础设施；  7.1.4过程运行环境；7.1.5监视和测量资源；8.1运行策划和控制；、8.2产品和服务的要求；</w:t>
            </w:r>
            <w:r>
              <w:rPr>
                <w:rFonts w:hint="eastAsia" w:ascii="宋体" w:hAnsi="宋体" w:cs="新宋体"/>
                <w:sz w:val="18"/>
                <w:szCs w:val="18"/>
                <w:lang w:val="en-US" w:eastAsia="zh-CN"/>
              </w:rPr>
              <w:t>8.3产品和服务的设计和开发；</w:t>
            </w:r>
            <w:r>
              <w:rPr>
                <w:rFonts w:hint="eastAsia" w:ascii="宋体" w:hAnsi="宋体" w:cs="新宋体"/>
                <w:sz w:val="18"/>
                <w:szCs w:val="18"/>
              </w:rPr>
              <w:t>8.4外部提供供方的控制；8.5.1生产和服务提供的控制；8.5.2标识和可追溯性；8.5.3顾客或外部供方的财产</w:t>
            </w:r>
            <w:r>
              <w:rPr>
                <w:rFonts w:ascii="宋体" w:hAnsi="宋体" w:cs="新宋体"/>
                <w:sz w:val="18"/>
                <w:szCs w:val="18"/>
              </w:rPr>
              <w:t xml:space="preserve"> </w:t>
            </w:r>
            <w:r>
              <w:rPr>
                <w:rFonts w:hint="eastAsia" w:ascii="宋体" w:hAnsi="宋体" w:cs="新宋体"/>
                <w:sz w:val="18"/>
                <w:szCs w:val="18"/>
              </w:rPr>
              <w:t>；8.5.4产品防护</w:t>
            </w:r>
            <w:r>
              <w:rPr>
                <w:rFonts w:hint="eastAsia" w:ascii="宋体" w:hAnsi="宋体" w:cs="新宋体"/>
                <w:sz w:val="18"/>
                <w:szCs w:val="18"/>
                <w:lang w:eastAsia="zh-CN"/>
              </w:rPr>
              <w:t>；</w:t>
            </w:r>
            <w:r>
              <w:rPr>
                <w:rFonts w:hint="eastAsia" w:ascii="宋体" w:hAnsi="宋体" w:cs="新宋体"/>
                <w:sz w:val="18"/>
                <w:szCs w:val="18"/>
              </w:rPr>
              <w:t>8.5.5交付后的活动；8.5.6更改控制；8.6产品和服务放行；8.7不合格输出的控制；9.1.2顾客满意；</w:t>
            </w:r>
          </w:p>
          <w:p>
            <w:pPr>
              <w:snapToGrid w:val="0"/>
              <w:spacing w:line="240" w:lineRule="exact"/>
              <w:rPr>
                <w:rFonts w:hint="default" w:ascii="Times New Roman" w:hAnsi="Times New Roman" w:eastAsia="宋体" w:cs="Times New Roman"/>
                <w:sz w:val="20"/>
                <w:lang w:val="en-US" w:eastAsia="zh-CN"/>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snapToGrid w:val="0"/>
              <w:spacing w:line="240" w:lineRule="exact"/>
              <w:rPr>
                <w:rFonts w:hint="eastAsia" w:asciiTheme="minorEastAsia" w:hAnsiTheme="minorEastAsia" w:eastAsiaTheme="minorEastAsia" w:cstheme="minorEastAsia"/>
                <w:color w:val="auto"/>
                <w:sz w:val="21"/>
                <w:szCs w:val="21"/>
              </w:rPr>
            </w:pPr>
            <w:r>
              <w:rPr>
                <w:rFonts w:hint="eastAsia" w:ascii="宋体" w:hAnsi="宋体" w:cs="新宋体"/>
                <w:sz w:val="18"/>
                <w:szCs w:val="18"/>
              </w:rPr>
              <w:t>5.3组织的角色、职责和权限；6.1.2危险源辨识和职业安全风险评价；6.2目标及其实现的策划；8.1运行策划和控制；8.2应急准备和响应；</w:t>
            </w:r>
            <w:r>
              <w:rPr>
                <w:rFonts w:ascii="宋体" w:hAnsi="宋体" w:cs="新宋体"/>
                <w:sz w:val="18"/>
                <w:szCs w:val="18"/>
              </w:rPr>
              <w:t xml:space="preserve"> </w:t>
            </w:r>
          </w:p>
        </w:tc>
        <w:tc>
          <w:tcPr>
            <w:tcW w:w="160" w:type="pct"/>
            <w:vMerge w:val="continue"/>
            <w:noWrap w:val="0"/>
            <w:vAlign w:val="top"/>
          </w:tcPr>
          <w:p>
            <w:pP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组织的岗位、职责权限</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Q5.3</w:t>
            </w:r>
          </w:p>
        </w:tc>
        <w:tc>
          <w:tcPr>
            <w:tcW w:w="398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销售部负责人：黄振益</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主要负责：采购、销售过程的控制；产品要求确定；合同评审；顾客沟通；顾客满意度调查；环境因素危险源的识别与控制、公司目标方案的执行、应急准备和响应等</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负责人对本部门的职责和权限以及工作流程清楚、明确完成本部门的目标指标。能较好回答部门职责，对工作要求明确。</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目标和方案</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QEO6.2</w:t>
            </w:r>
          </w:p>
        </w:tc>
        <w:tc>
          <w:tcPr>
            <w:tcW w:w="3985" w:type="pct"/>
            <w:noWrap w:val="0"/>
            <w:vAlign w:val="center"/>
          </w:tcPr>
          <w:p>
            <w:pPr>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部门目标：</w:t>
            </w:r>
          </w:p>
          <w:tbl>
            <w:tblPr>
              <w:tblStyle w:val="9"/>
              <w:tblpPr w:leftFromText="180" w:rightFromText="180" w:vertAnchor="text" w:horzAnchor="page" w:tblpXSpec="center" w:tblpY="2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606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0" w:type="auto"/>
                  <w:tcBorders>
                    <w:bottom w:val="single" w:color="auto" w:sz="4" w:space="0"/>
                  </w:tcBorders>
                  <w:noWrap w:val="0"/>
                  <w:vAlign w:val="center"/>
                </w:tcPr>
                <w:p>
                  <w:pPr>
                    <w:pStyle w:val="5"/>
                    <w:spacing w:before="80" w:beforeLines="20" w:after="80" w:afterLines="20"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分目标</w:t>
                  </w:r>
                </w:p>
              </w:tc>
              <w:tc>
                <w:tcPr>
                  <w:tcW w:w="6062" w:type="dxa"/>
                  <w:tcBorders>
                    <w:bottom w:val="single" w:color="auto" w:sz="4" w:space="0"/>
                  </w:tcBorders>
                  <w:noWrap w:val="0"/>
                  <w:vAlign w:val="center"/>
                </w:tcPr>
                <w:p>
                  <w:pPr>
                    <w:pStyle w:val="5"/>
                    <w:spacing w:before="80" w:beforeLines="20" w:after="80" w:afterLines="20"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考核方法</w:t>
                  </w:r>
                </w:p>
              </w:tc>
              <w:tc>
                <w:tcPr>
                  <w:tcW w:w="1630" w:type="dxa"/>
                  <w:tcBorders>
                    <w:bottom w:val="single" w:color="auto" w:sz="4" w:space="0"/>
                  </w:tcBorders>
                  <w:noWrap w:val="0"/>
                  <w:vAlign w:val="center"/>
                </w:tcPr>
                <w:p>
                  <w:pPr>
                    <w:pStyle w:val="5"/>
                    <w:spacing w:before="80" w:beforeLines="20" w:after="80" w:afterLines="20"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5"/>
                    <w:spacing w:before="60" w:beforeLines="15" w:after="60" w:afterLines="15"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顾客满意度≥95%</w:t>
                  </w:r>
                </w:p>
              </w:tc>
              <w:tc>
                <w:tcPr>
                  <w:tcW w:w="6062" w:type="dxa"/>
                  <w:tcBorders>
                    <w:top w:val="single" w:color="auto" w:sz="4" w:space="0"/>
                    <w:left w:val="single" w:color="auto" w:sz="4" w:space="0"/>
                    <w:bottom w:val="single" w:color="auto" w:sz="4" w:space="0"/>
                    <w:right w:val="single" w:color="auto" w:sz="4" w:space="0"/>
                  </w:tcBorders>
                  <w:noWrap w:val="0"/>
                  <w:vAlign w:val="center"/>
                </w:tcPr>
                <w:p>
                  <w:pPr>
                    <w:pStyle w:val="5"/>
                    <w:spacing w:before="60" w:beforeLines="15" w:after="60" w:afterLines="15"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满意率＝顾客满意分数总数÷总分数×100%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pStyle w:val="5"/>
                    <w:spacing w:before="60" w:beforeLines="15" w:after="60" w:afterLines="15" w:line="320" w:lineRule="exact"/>
                    <w:ind w:left="0"/>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产品一次交验合格率≥98%</w:t>
                  </w:r>
                </w:p>
              </w:tc>
              <w:tc>
                <w:tcPr>
                  <w:tcW w:w="6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合格率＝出厂合格数÷出厂总数×100%</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各类废弃物按规定处置率100%</w:t>
                  </w:r>
                </w:p>
              </w:tc>
              <w:tc>
                <w:tcPr>
                  <w:tcW w:w="6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检查合格次数/总次数</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重大安全事故（火灾、触电等）为零</w:t>
                  </w:r>
                </w:p>
              </w:tc>
              <w:tc>
                <w:tcPr>
                  <w:tcW w:w="60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检查实际情况</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0</w:t>
                  </w:r>
                </w:p>
              </w:tc>
            </w:tr>
          </w:tbl>
          <w:p>
            <w:pPr>
              <w:jc w:val="both"/>
              <w:rPr>
                <w:rFonts w:hint="eastAsia" w:ascii="楷体" w:hAnsi="楷体" w:eastAsia="楷体" w:cs="宋体"/>
                <w:bCs w:val="0"/>
                <w:color w:val="000000"/>
                <w:spacing w:val="0"/>
                <w:kern w:val="2"/>
                <w:sz w:val="24"/>
                <w:szCs w:val="24"/>
                <w:lang w:val="en-US" w:eastAsia="zh-CN" w:bidi="ar-SA"/>
              </w:rPr>
            </w:pP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查目标分解与考核，企业于2021.12.30日已完成考核任务。</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部门分解目标与公司方针一致，可测量，并传达到部门相关人员，必要时适时更新，目前无变化。</w:t>
            </w:r>
          </w:p>
          <w:p>
            <w:pPr>
              <w:pStyle w:val="12"/>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针对以上环境、职业健康安全目标和重要环境因素公司制定了相应的《管理方案》，内容涉及方法措施、执行部门、完成情况等。配备有效的灭火器等消防设施，安全操作隐患检查每月至少1次、远程视频每天检查操作规范性，防止影响环境的操作等……</w:t>
            </w:r>
          </w:p>
          <w:p>
            <w:pPr>
              <w:pStyle w:val="12"/>
              <w:ind w:firstLine="480" w:firstLineChars="200"/>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2021年第四季度《安全目标指标方案检查记录》、《环境目标指标方案检查记录》，均有相应的监视和评审记录，符合控制要求。完成情况：以上各产品标均已达成。时间表：自管理体系运行以来持续进行，已按管理方案要求实施。</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8" w:type="pct"/>
            <w:noWrap w:val="0"/>
            <w:vAlign w:val="top"/>
          </w:tcPr>
          <w:p>
            <w:pPr>
              <w:spacing w:line="360" w:lineRule="auto"/>
              <w:rPr>
                <w:rFonts w:ascii="楷体" w:hAnsi="楷体" w:eastAsia="楷体"/>
                <w:bCs/>
                <w:szCs w:val="24"/>
              </w:rPr>
            </w:pPr>
            <w:r>
              <w:rPr>
                <w:rFonts w:hint="eastAsia" w:ascii="楷体" w:hAnsi="楷体" w:eastAsia="楷体"/>
                <w:bCs/>
                <w:szCs w:val="24"/>
              </w:rPr>
              <w:t>环境因素</w:t>
            </w:r>
          </w:p>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危险源</w:t>
            </w:r>
          </w:p>
        </w:tc>
        <w:tc>
          <w:tcPr>
            <w:tcW w:w="356" w:type="pct"/>
            <w:noWrap w:val="0"/>
            <w:vAlign w:val="top"/>
          </w:tcPr>
          <w:p>
            <w:pPr>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bCs/>
                <w:szCs w:val="24"/>
              </w:rPr>
              <w:t>EO6.1.2</w:t>
            </w:r>
          </w:p>
        </w:tc>
        <w:tc>
          <w:tcPr>
            <w:tcW w:w="3985" w:type="pct"/>
            <w:noWrap w:val="0"/>
            <w:vAlign w:val="center"/>
          </w:tcPr>
          <w:p>
            <w:pPr>
              <w:pStyle w:val="12"/>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组织根据手册第6.1.2条款、《环境因素识别与评价管理程序》要求，由综合部负责指导各部门环境因素的调查、评价、汇总、登记、审定及更新，各部门负责组织实施，综合部负责汇总整理。</w:t>
            </w:r>
          </w:p>
          <w:p>
            <w:pPr>
              <w:pStyle w:val="12"/>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查看组织《环境因素识别评价表》，组织在办公区等场所，按照活动过程调查、识别和确定了环境因素及其环境影响，对环境因素的状态进行评价，对应责任部门明确，有相应的保存期限、责任人和制定日期，基本满足环境因素识别、确定和保持要求。</w:t>
            </w:r>
          </w:p>
          <w:p>
            <w:pPr>
              <w:pStyle w:val="12"/>
              <w:ind w:firstLine="420" w:firstLineChars="200"/>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组织按照《环境因素识别与评价程序》准则确定了重要环境因素，抽查组织《重要环境因素清单》内容如下：</w:t>
            </w:r>
          </w:p>
          <w:tbl>
            <w:tblPr>
              <w:tblStyle w:val="9"/>
              <w:tblW w:w="973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360"/>
              <w:gridCol w:w="3157"/>
              <w:gridCol w:w="1843"/>
              <w:gridCol w:w="12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序号</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环境因素</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活动点/工序或部位</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环境影响</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时态/状态</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管理控制方式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43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1</w:t>
                  </w:r>
                </w:p>
              </w:tc>
              <w:tc>
                <w:tcPr>
                  <w:tcW w:w="136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固废的排放</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办公废旧灯管、电池、磁盘、生活垃圾等废弃</w:t>
                  </w:r>
                </w:p>
              </w:tc>
              <w:tc>
                <w:tcPr>
                  <w:tcW w:w="1843"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固废处理</w:t>
                  </w:r>
                </w:p>
                <w:p>
                  <w:pPr>
                    <w:spacing w:line="240" w:lineRule="exact"/>
                    <w:rPr>
                      <w:rFonts w:hint="eastAsia"/>
                      <w:sz w:val="18"/>
                      <w:szCs w:val="18"/>
                      <w:lang w:val="en-US" w:eastAsia="zh-CN"/>
                    </w:rPr>
                  </w:pPr>
                  <w:r>
                    <w:rPr>
                      <w:rFonts w:hint="eastAsia"/>
                      <w:sz w:val="18"/>
                      <w:szCs w:val="18"/>
                      <w:lang w:val="en-US" w:eastAsia="zh-CN"/>
                    </w:rPr>
                    <w:t>污染土壤</w:t>
                  </w:r>
                </w:p>
              </w:tc>
              <w:tc>
                <w:tcPr>
                  <w:tcW w:w="123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tcBorders>
                    <w:bottom w:val="single" w:color="auto" w:sz="4" w:space="0"/>
                  </w:tcBorders>
                  <w:noWrap w:val="0"/>
                  <w:vAlign w:val="center"/>
                </w:tcPr>
                <w:p>
                  <w:pPr>
                    <w:spacing w:line="240" w:lineRule="exact"/>
                    <w:rPr>
                      <w:rFonts w:hint="eastAsia"/>
                      <w:sz w:val="18"/>
                      <w:szCs w:val="18"/>
                      <w:lang w:val="en-US" w:eastAsia="zh-CN"/>
                    </w:rPr>
                  </w:pPr>
                  <w:r>
                    <w:rPr>
                      <w:rFonts w:hint="eastAsia"/>
                      <w:sz w:val="18"/>
                      <w:szCs w:val="18"/>
                      <w:lang w:val="en-US" w:eastAsia="zh-CN"/>
                    </w:rPr>
                    <w:t>①目标、指标及环境管理方案</w:t>
                  </w:r>
                </w:p>
                <w:p>
                  <w:pPr>
                    <w:spacing w:line="240" w:lineRule="exact"/>
                    <w:rPr>
                      <w:rFonts w:hint="eastAsia"/>
                      <w:sz w:val="18"/>
                      <w:szCs w:val="18"/>
                      <w:lang w:val="en-US" w:eastAsia="zh-CN"/>
                    </w:rPr>
                  </w:pPr>
                  <w:r>
                    <w:rPr>
                      <w:rFonts w:hint="eastAsia"/>
                      <w:sz w:val="18"/>
                      <w:szCs w:val="18"/>
                      <w:lang w:val="en-US" w:eastAsia="zh-CN"/>
                    </w:rPr>
                    <w:t>②运行控制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430" w:type="dxa"/>
                  <w:noWrap w:val="0"/>
                  <w:vAlign w:val="center"/>
                </w:tcPr>
                <w:p>
                  <w:pPr>
                    <w:spacing w:line="240" w:lineRule="exact"/>
                    <w:rPr>
                      <w:rFonts w:hint="eastAsia"/>
                      <w:sz w:val="18"/>
                      <w:szCs w:val="18"/>
                      <w:lang w:val="en-US" w:eastAsia="zh-CN"/>
                    </w:rPr>
                  </w:pPr>
                  <w:r>
                    <w:rPr>
                      <w:rFonts w:hint="eastAsia"/>
                      <w:sz w:val="18"/>
                      <w:szCs w:val="18"/>
                      <w:lang w:val="en-US" w:eastAsia="zh-CN"/>
                    </w:rPr>
                    <w:t>2</w:t>
                  </w:r>
                </w:p>
              </w:tc>
              <w:tc>
                <w:tcPr>
                  <w:tcW w:w="1360" w:type="dxa"/>
                  <w:noWrap w:val="0"/>
                  <w:vAlign w:val="center"/>
                </w:tcPr>
                <w:p>
                  <w:pPr>
                    <w:spacing w:line="240" w:lineRule="exact"/>
                    <w:rPr>
                      <w:rFonts w:hint="eastAsia"/>
                      <w:sz w:val="18"/>
                      <w:szCs w:val="18"/>
                      <w:lang w:val="en-US" w:eastAsia="zh-CN"/>
                    </w:rPr>
                  </w:pPr>
                  <w:r>
                    <w:rPr>
                      <w:rFonts w:hint="eastAsia"/>
                      <w:sz w:val="18"/>
                      <w:szCs w:val="18"/>
                      <w:lang w:val="en-US" w:eastAsia="zh-CN"/>
                    </w:rPr>
                    <w:t>潜在火灾</w:t>
                  </w:r>
                </w:p>
              </w:tc>
              <w:tc>
                <w:tcPr>
                  <w:tcW w:w="3157" w:type="dxa"/>
                  <w:noWrap w:val="0"/>
                  <w:vAlign w:val="center"/>
                </w:tcPr>
                <w:p>
                  <w:pPr>
                    <w:spacing w:line="240" w:lineRule="exact"/>
                    <w:rPr>
                      <w:rFonts w:hint="eastAsia"/>
                      <w:sz w:val="18"/>
                      <w:szCs w:val="18"/>
                      <w:lang w:val="en-US" w:eastAsia="zh-CN"/>
                    </w:rPr>
                  </w:pPr>
                  <w:r>
                    <w:rPr>
                      <w:rFonts w:hint="eastAsia"/>
                      <w:sz w:val="18"/>
                      <w:szCs w:val="18"/>
                      <w:lang w:val="en-US" w:eastAsia="zh-CN"/>
                    </w:rPr>
                    <w:t>办公、后勤生活</w:t>
                  </w:r>
                </w:p>
              </w:tc>
              <w:tc>
                <w:tcPr>
                  <w:tcW w:w="1843" w:type="dxa"/>
                  <w:noWrap w:val="0"/>
                  <w:vAlign w:val="center"/>
                </w:tcPr>
                <w:p>
                  <w:pPr>
                    <w:spacing w:line="240" w:lineRule="exact"/>
                    <w:rPr>
                      <w:rFonts w:hint="eastAsia"/>
                      <w:sz w:val="18"/>
                      <w:szCs w:val="18"/>
                      <w:lang w:val="en-US" w:eastAsia="zh-CN"/>
                    </w:rPr>
                  </w:pPr>
                  <w:r>
                    <w:rPr>
                      <w:rFonts w:hint="eastAsia"/>
                      <w:sz w:val="18"/>
                      <w:szCs w:val="18"/>
                      <w:lang w:val="en-US" w:eastAsia="zh-CN"/>
                    </w:rPr>
                    <w:t>大气、土壤等综合性污染</w:t>
                  </w:r>
                </w:p>
              </w:tc>
              <w:tc>
                <w:tcPr>
                  <w:tcW w:w="1230" w:type="dxa"/>
                  <w:noWrap w:val="0"/>
                  <w:vAlign w:val="center"/>
                </w:tcPr>
                <w:p>
                  <w:pPr>
                    <w:spacing w:line="240" w:lineRule="exact"/>
                    <w:rPr>
                      <w:rFonts w:hint="eastAsia"/>
                      <w:sz w:val="18"/>
                      <w:szCs w:val="18"/>
                      <w:lang w:val="en-US" w:eastAsia="zh-CN"/>
                    </w:rPr>
                  </w:pPr>
                  <w:r>
                    <w:rPr>
                      <w:rFonts w:hint="eastAsia"/>
                      <w:sz w:val="18"/>
                      <w:szCs w:val="18"/>
                      <w:lang w:val="en-US" w:eastAsia="zh-CN"/>
                    </w:rPr>
                    <w:t>现在/正常</w:t>
                  </w:r>
                </w:p>
              </w:tc>
              <w:tc>
                <w:tcPr>
                  <w:tcW w:w="1710" w:type="dxa"/>
                  <w:noWrap w:val="0"/>
                  <w:vAlign w:val="center"/>
                </w:tcPr>
                <w:p>
                  <w:pPr>
                    <w:spacing w:line="240" w:lineRule="exact"/>
                    <w:rPr>
                      <w:rFonts w:hint="eastAsia"/>
                      <w:sz w:val="18"/>
                      <w:szCs w:val="18"/>
                      <w:lang w:val="en-US" w:eastAsia="zh-CN"/>
                    </w:rPr>
                  </w:pPr>
                  <w:r>
                    <w:rPr>
                      <w:rFonts w:hint="eastAsia"/>
                      <w:sz w:val="18"/>
                      <w:szCs w:val="18"/>
                      <w:lang w:val="en-US" w:eastAsia="zh-CN"/>
                    </w:rPr>
                    <w:t>①应急方案</w:t>
                  </w:r>
                </w:p>
              </w:tc>
            </w:tr>
          </w:tbl>
          <w:p>
            <w:pPr>
              <w:pStyle w:val="12"/>
              <w:ind w:firstLine="420" w:firstLineChars="200"/>
              <w:rPr>
                <w:rFonts w:hint="default"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重要环境因素识别、评价与实际吻合，管理方案明确控制措施基本能够满足控制要求。</w:t>
            </w:r>
          </w:p>
          <w:p>
            <w:pPr>
              <w:jc w:val="left"/>
              <w:rPr>
                <w:rFonts w:hint="eastAsia" w:ascii="宋体" w:hAnsi="宋体" w:cs="宋体"/>
                <w:bCs w:val="0"/>
                <w:spacing w:val="0"/>
                <w:kern w:val="2"/>
                <w:sz w:val="21"/>
                <w:szCs w:val="21"/>
                <w:lang w:val="en-US" w:eastAsia="zh-CN" w:bidi="ar-SA"/>
              </w:rPr>
            </w:pPr>
            <w:r>
              <w:rPr>
                <w:rFonts w:hint="eastAsia" w:ascii="宋体" w:hAnsi="宋体" w:cs="宋体"/>
                <w:bCs w:val="0"/>
                <w:spacing w:val="0"/>
                <w:kern w:val="2"/>
                <w:sz w:val="21"/>
                <w:szCs w:val="21"/>
                <w:lang w:val="en-US" w:eastAsia="zh-CN" w:bidi="ar-SA"/>
              </w:rPr>
              <w:t>组织根据手册6.1.2条款、《危险源辨识与风险评价控制措施管理程序》要求，由综合部负责编制《危险源风险辨识和评价表》，指导各职能部门（基层单位）开展危险、有害因素风险识别、评价，负责各职能部门（基层单位）风险评价记录的审查与控制效果有效性验证。组织有建立、更新《不可接受风险清单》。抽查组织不可接受风险内容如下：</w:t>
            </w:r>
          </w:p>
          <w:tbl>
            <w:tblPr>
              <w:tblStyle w:val="9"/>
              <w:tblW w:w="1015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49"/>
              <w:gridCol w:w="2370"/>
              <w:gridCol w:w="2490"/>
              <w:gridCol w:w="1380"/>
              <w:gridCol w:w="32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序号</w:t>
                  </w:r>
                </w:p>
              </w:tc>
              <w:tc>
                <w:tcPr>
                  <w:tcW w:w="2370" w:type="dxa"/>
                  <w:noWrap w:val="0"/>
                  <w:vAlign w:val="center"/>
                </w:tcPr>
                <w:p>
                  <w:pPr>
                    <w:spacing w:line="240" w:lineRule="exact"/>
                    <w:rPr>
                      <w:rFonts w:hint="eastAsia"/>
                      <w:sz w:val="18"/>
                      <w:szCs w:val="18"/>
                      <w:lang w:val="en-US" w:eastAsia="zh-CN"/>
                    </w:rPr>
                  </w:pPr>
                  <w:r>
                    <w:rPr>
                      <w:rFonts w:hint="eastAsia"/>
                      <w:sz w:val="18"/>
                      <w:szCs w:val="18"/>
                      <w:lang w:val="en-US" w:eastAsia="zh-CN"/>
                    </w:rPr>
                    <w:t>活动点/工序/部位</w:t>
                  </w:r>
                </w:p>
              </w:tc>
              <w:tc>
                <w:tcPr>
                  <w:tcW w:w="2490" w:type="dxa"/>
                  <w:noWrap w:val="0"/>
                  <w:vAlign w:val="center"/>
                </w:tcPr>
                <w:p>
                  <w:pPr>
                    <w:spacing w:line="240" w:lineRule="exact"/>
                    <w:rPr>
                      <w:rFonts w:hint="eastAsia"/>
                      <w:sz w:val="18"/>
                      <w:szCs w:val="18"/>
                      <w:lang w:val="en-US" w:eastAsia="zh-CN"/>
                    </w:rPr>
                  </w:pPr>
                  <w:r>
                    <w:rPr>
                      <w:rFonts w:hint="eastAsia"/>
                      <w:sz w:val="18"/>
                      <w:szCs w:val="18"/>
                      <w:lang w:val="en-US" w:eastAsia="zh-CN"/>
                    </w:rPr>
                    <w:t>潜在的危险因素</w:t>
                  </w:r>
                </w:p>
              </w:tc>
              <w:tc>
                <w:tcPr>
                  <w:tcW w:w="1380" w:type="dxa"/>
                  <w:noWrap w:val="0"/>
                  <w:vAlign w:val="center"/>
                </w:tcPr>
                <w:p>
                  <w:pPr>
                    <w:spacing w:line="240" w:lineRule="exact"/>
                    <w:rPr>
                      <w:rFonts w:hint="eastAsia"/>
                      <w:sz w:val="18"/>
                      <w:szCs w:val="18"/>
                      <w:lang w:val="en-US" w:eastAsia="zh-CN"/>
                    </w:rPr>
                  </w:pPr>
                  <w:r>
                    <w:rPr>
                      <w:rFonts w:hint="eastAsia"/>
                      <w:sz w:val="18"/>
                      <w:szCs w:val="18"/>
                      <w:lang w:val="en-US" w:eastAsia="zh-CN"/>
                    </w:rPr>
                    <w:t>可能导致的结果</w:t>
                  </w:r>
                </w:p>
              </w:tc>
              <w:tc>
                <w:tcPr>
                  <w:tcW w:w="3269" w:type="dxa"/>
                  <w:noWrap w:val="0"/>
                  <w:vAlign w:val="center"/>
                </w:tcPr>
                <w:p>
                  <w:pPr>
                    <w:spacing w:line="240" w:lineRule="exact"/>
                    <w:rPr>
                      <w:rFonts w:hint="eastAsia"/>
                      <w:sz w:val="18"/>
                      <w:szCs w:val="18"/>
                      <w:lang w:val="en-US" w:eastAsia="zh-CN"/>
                    </w:rPr>
                  </w:pPr>
                  <w:r>
                    <w:rPr>
                      <w:rFonts w:hint="eastAsia"/>
                      <w:sz w:val="18"/>
                      <w:szCs w:val="18"/>
                      <w:lang w:val="en-US" w:eastAsia="zh-CN"/>
                    </w:rPr>
                    <w:t>控制措施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1</w:t>
                  </w:r>
                </w:p>
              </w:tc>
              <w:tc>
                <w:tcPr>
                  <w:tcW w:w="2370" w:type="dxa"/>
                  <w:noWrap w:val="0"/>
                  <w:vAlign w:val="center"/>
                </w:tcPr>
                <w:p>
                  <w:pPr>
                    <w:spacing w:line="240" w:lineRule="exact"/>
                    <w:rPr>
                      <w:rFonts w:hint="eastAsia"/>
                      <w:sz w:val="18"/>
                      <w:szCs w:val="18"/>
                      <w:lang w:val="en-US" w:eastAsia="zh-CN"/>
                    </w:rPr>
                  </w:pPr>
                  <w:r>
                    <w:rPr>
                      <w:rFonts w:hint="eastAsia"/>
                      <w:sz w:val="18"/>
                      <w:szCs w:val="18"/>
                    </w:rPr>
                    <w:t>触电（私拉电线、设备漏电、违章作业等）</w:t>
                  </w:r>
                </w:p>
              </w:tc>
              <w:tc>
                <w:tcPr>
                  <w:tcW w:w="2490" w:type="dxa"/>
                  <w:noWrap w:val="0"/>
                  <w:vAlign w:val="center"/>
                </w:tcPr>
                <w:p>
                  <w:pPr>
                    <w:spacing w:line="240" w:lineRule="exact"/>
                    <w:rPr>
                      <w:rFonts w:hint="eastAsia"/>
                      <w:sz w:val="18"/>
                      <w:szCs w:val="18"/>
                      <w:lang w:val="en-US" w:eastAsia="zh-CN"/>
                    </w:rPr>
                  </w:pPr>
                  <w:r>
                    <w:rPr>
                      <w:rFonts w:hint="eastAsia"/>
                      <w:sz w:val="18"/>
                      <w:szCs w:val="18"/>
                    </w:rPr>
                    <w:t>触电伤亡</w:t>
                  </w:r>
                </w:p>
              </w:tc>
              <w:tc>
                <w:tcPr>
                  <w:tcW w:w="1380" w:type="dxa"/>
                  <w:noWrap w:val="0"/>
                  <w:vAlign w:val="top"/>
                </w:tcPr>
                <w:p>
                  <w:pPr>
                    <w:spacing w:line="240" w:lineRule="exact"/>
                    <w:rPr>
                      <w:rFonts w:hint="eastAsia"/>
                      <w:sz w:val="18"/>
                      <w:szCs w:val="18"/>
                      <w:lang w:val="en-US" w:eastAsia="zh-CN"/>
                    </w:rPr>
                  </w:pPr>
                  <w:r>
                    <w:rPr>
                      <w:rFonts w:hint="eastAsia"/>
                      <w:sz w:val="18"/>
                      <w:szCs w:val="18"/>
                      <w:lang w:val="en-US" w:eastAsia="zh-CN"/>
                    </w:rPr>
                    <w:t>人员伤亡</w:t>
                  </w:r>
                </w:p>
              </w:tc>
              <w:tc>
                <w:tcPr>
                  <w:tcW w:w="3269" w:type="dxa"/>
                  <w:noWrap w:val="0"/>
                  <w:vAlign w:val="top"/>
                </w:tcPr>
                <w:p>
                  <w:pPr>
                    <w:spacing w:line="240" w:lineRule="exact"/>
                    <w:rPr>
                      <w:rFonts w:hint="eastAsia"/>
                      <w:sz w:val="18"/>
                      <w:szCs w:val="18"/>
                      <w:lang w:val="en-US" w:eastAsia="zh-CN"/>
                    </w:rPr>
                  </w:pPr>
                  <w:r>
                    <w:rPr>
                      <w:rFonts w:hint="eastAsia"/>
                      <w:sz w:val="18"/>
                      <w:szCs w:val="18"/>
                    </w:rPr>
                    <w:t>①建立目标和管理方案   ②制订应急预案   ③常规运行控制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2</w:t>
                  </w:r>
                </w:p>
              </w:tc>
              <w:tc>
                <w:tcPr>
                  <w:tcW w:w="2370" w:type="dxa"/>
                  <w:noWrap w:val="0"/>
                  <w:vAlign w:val="center"/>
                </w:tcPr>
                <w:p>
                  <w:pPr>
                    <w:spacing w:line="240" w:lineRule="exact"/>
                    <w:rPr>
                      <w:rFonts w:hint="eastAsia"/>
                      <w:sz w:val="18"/>
                      <w:szCs w:val="18"/>
                      <w:lang w:val="en-US" w:eastAsia="zh-CN"/>
                    </w:rPr>
                  </w:pPr>
                  <w:r>
                    <w:rPr>
                      <w:rFonts w:hint="eastAsia"/>
                      <w:sz w:val="18"/>
                      <w:szCs w:val="18"/>
                    </w:rPr>
                    <w:t>潜在火灾事故（电线老化；易燃处吸烟、动火等）</w:t>
                  </w:r>
                </w:p>
              </w:tc>
              <w:tc>
                <w:tcPr>
                  <w:tcW w:w="2490" w:type="dxa"/>
                  <w:noWrap w:val="0"/>
                  <w:vAlign w:val="center"/>
                </w:tcPr>
                <w:p>
                  <w:pPr>
                    <w:spacing w:line="240" w:lineRule="exact"/>
                    <w:rPr>
                      <w:rFonts w:hint="eastAsia"/>
                      <w:sz w:val="18"/>
                      <w:szCs w:val="18"/>
                      <w:lang w:val="en-US" w:eastAsia="zh-CN"/>
                    </w:rPr>
                  </w:pPr>
                  <w:r>
                    <w:rPr>
                      <w:rFonts w:hint="eastAsia"/>
                      <w:sz w:val="18"/>
                      <w:szCs w:val="18"/>
                    </w:rPr>
                    <w:t>火灾伤亡</w:t>
                  </w:r>
                </w:p>
              </w:tc>
              <w:tc>
                <w:tcPr>
                  <w:tcW w:w="1380" w:type="dxa"/>
                  <w:noWrap w:val="0"/>
                  <w:vAlign w:val="center"/>
                </w:tcPr>
                <w:p>
                  <w:pPr>
                    <w:spacing w:line="240" w:lineRule="exact"/>
                    <w:rPr>
                      <w:rFonts w:hint="eastAsia"/>
                      <w:sz w:val="18"/>
                      <w:szCs w:val="18"/>
                      <w:lang w:val="en-US" w:eastAsia="zh-CN"/>
                    </w:rPr>
                  </w:pPr>
                  <w:r>
                    <w:rPr>
                      <w:rFonts w:hint="eastAsia"/>
                      <w:sz w:val="18"/>
                      <w:szCs w:val="18"/>
                      <w:lang w:val="en-US" w:eastAsia="zh-CN"/>
                    </w:rPr>
                    <w:t>人员的人身伤害</w:t>
                  </w:r>
                </w:p>
              </w:tc>
              <w:tc>
                <w:tcPr>
                  <w:tcW w:w="3269" w:type="dxa"/>
                  <w:noWrap w:val="0"/>
                  <w:vAlign w:val="center"/>
                </w:tcPr>
                <w:p>
                  <w:pPr>
                    <w:spacing w:line="240" w:lineRule="exact"/>
                    <w:rPr>
                      <w:rFonts w:hint="eastAsia"/>
                      <w:sz w:val="18"/>
                      <w:szCs w:val="18"/>
                      <w:lang w:val="en-US" w:eastAsia="zh-CN"/>
                    </w:rPr>
                  </w:pPr>
                  <w:r>
                    <w:rPr>
                      <w:rFonts w:hint="eastAsia"/>
                      <w:sz w:val="18"/>
                      <w:szCs w:val="18"/>
                    </w:rPr>
                    <w:t>①建立目标和管理方案   ②制订应急预案   ③常规运行控制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649" w:type="dxa"/>
                  <w:noWrap w:val="0"/>
                  <w:vAlign w:val="center"/>
                </w:tcPr>
                <w:p>
                  <w:pPr>
                    <w:spacing w:line="240" w:lineRule="exact"/>
                    <w:rPr>
                      <w:rFonts w:hint="eastAsia"/>
                      <w:sz w:val="18"/>
                      <w:szCs w:val="18"/>
                      <w:lang w:val="en-US" w:eastAsia="zh-CN"/>
                    </w:rPr>
                  </w:pPr>
                  <w:r>
                    <w:rPr>
                      <w:rFonts w:hint="eastAsia"/>
                      <w:sz w:val="18"/>
                      <w:szCs w:val="18"/>
                      <w:lang w:val="en-US" w:eastAsia="zh-CN"/>
                    </w:rPr>
                    <w:t>3</w:t>
                  </w:r>
                </w:p>
              </w:tc>
              <w:tc>
                <w:tcPr>
                  <w:tcW w:w="2370" w:type="dxa"/>
                  <w:noWrap w:val="0"/>
                  <w:vAlign w:val="center"/>
                </w:tcPr>
                <w:p>
                  <w:pPr>
                    <w:spacing w:line="240" w:lineRule="exact"/>
                    <w:rPr>
                      <w:rFonts w:hint="eastAsia"/>
                      <w:sz w:val="18"/>
                      <w:szCs w:val="18"/>
                      <w:lang w:val="en-US" w:eastAsia="zh-CN"/>
                    </w:rPr>
                  </w:pPr>
                  <w:r>
                    <w:rPr>
                      <w:rFonts w:hint="eastAsia"/>
                      <w:sz w:val="18"/>
                      <w:szCs w:val="18"/>
                    </w:rPr>
                    <w:t>交通事故</w:t>
                  </w:r>
                </w:p>
              </w:tc>
              <w:tc>
                <w:tcPr>
                  <w:tcW w:w="2490" w:type="dxa"/>
                  <w:noWrap w:val="0"/>
                  <w:vAlign w:val="center"/>
                </w:tcPr>
                <w:p>
                  <w:pPr>
                    <w:spacing w:line="240" w:lineRule="exact"/>
                    <w:rPr>
                      <w:rFonts w:hint="eastAsia"/>
                      <w:sz w:val="18"/>
                      <w:szCs w:val="18"/>
                      <w:lang w:val="en-US" w:eastAsia="zh-CN"/>
                    </w:rPr>
                  </w:pPr>
                  <w:r>
                    <w:rPr>
                      <w:rFonts w:hint="eastAsia"/>
                      <w:sz w:val="18"/>
                      <w:szCs w:val="18"/>
                    </w:rPr>
                    <w:t>意外伤亡</w:t>
                  </w:r>
                </w:p>
              </w:tc>
              <w:tc>
                <w:tcPr>
                  <w:tcW w:w="1380" w:type="dxa"/>
                  <w:noWrap w:val="0"/>
                  <w:vAlign w:val="top"/>
                </w:tcPr>
                <w:p>
                  <w:pPr>
                    <w:spacing w:line="240" w:lineRule="exact"/>
                    <w:rPr>
                      <w:rFonts w:hint="eastAsia"/>
                      <w:sz w:val="18"/>
                      <w:szCs w:val="18"/>
                      <w:lang w:val="en-US" w:eastAsia="zh-CN"/>
                    </w:rPr>
                  </w:pPr>
                  <w:r>
                    <w:rPr>
                      <w:rFonts w:hint="eastAsia"/>
                      <w:sz w:val="18"/>
                      <w:szCs w:val="18"/>
                      <w:lang w:val="en-US" w:eastAsia="zh-CN"/>
                    </w:rPr>
                    <w:t>人员伤亡</w:t>
                  </w:r>
                </w:p>
              </w:tc>
              <w:tc>
                <w:tcPr>
                  <w:tcW w:w="3269" w:type="dxa"/>
                  <w:noWrap w:val="0"/>
                  <w:vAlign w:val="top"/>
                </w:tcPr>
                <w:p>
                  <w:pPr>
                    <w:spacing w:line="240" w:lineRule="exact"/>
                    <w:rPr>
                      <w:rFonts w:hint="eastAsia"/>
                      <w:sz w:val="18"/>
                      <w:szCs w:val="18"/>
                      <w:lang w:val="en-US" w:eastAsia="zh-CN"/>
                    </w:rPr>
                  </w:pPr>
                  <w:r>
                    <w:rPr>
                      <w:rFonts w:hint="eastAsia"/>
                      <w:sz w:val="18"/>
                      <w:szCs w:val="18"/>
                    </w:rPr>
                    <w:t>①建立目标和管理方案</w:t>
                  </w:r>
                </w:p>
              </w:tc>
            </w:tr>
          </w:tbl>
          <w:p>
            <w:pPr>
              <w:pStyle w:val="12"/>
              <w:ind w:firstLine="420" w:firstLineChars="200"/>
              <w:rPr>
                <w:rFonts w:hint="eastAsia" w:ascii="楷体" w:hAnsi="楷体" w:eastAsia="楷体" w:cs="Times New Roman"/>
                <w:sz w:val="24"/>
                <w:szCs w:val="24"/>
              </w:rPr>
            </w:pPr>
            <w:r>
              <w:rPr>
                <w:rFonts w:hint="eastAsia" w:ascii="宋体" w:hAnsi="宋体" w:cs="宋体"/>
                <w:bCs w:val="0"/>
                <w:spacing w:val="0"/>
                <w:kern w:val="2"/>
                <w:sz w:val="21"/>
                <w:szCs w:val="21"/>
                <w:lang w:val="en-US" w:eastAsia="zh-CN" w:bidi="ar-SA"/>
              </w:rPr>
              <w:t>组织的职业健康安全风险与危险源辨识清单判定的内容一致，综合部负责人何亚洲在访谈时介绍，组织会在危险源和风险识别、确定和应对的过程中寻找机遇，包括：1）使工作、工作组织和工作环境适合于工作人员；2）消除危险源和降低职业健康安全风险等，基本与GB/T 45001-2020和企业手册以及程序文件要求识别的机遇一致，符合要求。</w:t>
            </w:r>
          </w:p>
        </w:tc>
        <w:tc>
          <w:tcPr>
            <w:tcW w:w="160" w:type="pct"/>
            <w:noWrap w:val="0"/>
            <w:vAlign w:val="top"/>
          </w:tcPr>
          <w:p>
            <w:pPr>
              <w:jc w:val="cente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8" w:type="pct"/>
            <w:noWrap w:val="0"/>
            <w:vAlign w:val="top"/>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基础设施</w:t>
            </w:r>
          </w:p>
          <w:p>
            <w:pPr>
              <w:spacing w:line="360" w:lineRule="auto"/>
              <w:rPr>
                <w:rFonts w:hint="eastAsia" w:ascii="楷体" w:hAnsi="楷体" w:eastAsia="楷体" w:cs="宋体"/>
                <w:bCs w:val="0"/>
                <w:color w:val="000000"/>
                <w:spacing w:val="0"/>
                <w:kern w:val="2"/>
                <w:sz w:val="24"/>
                <w:szCs w:val="24"/>
                <w:lang w:val="en-US" w:eastAsia="zh-CN" w:bidi="ar-SA"/>
              </w:rPr>
            </w:pPr>
          </w:p>
        </w:tc>
        <w:tc>
          <w:tcPr>
            <w:tcW w:w="356" w:type="pct"/>
            <w:noWrap w:val="0"/>
            <w:vAlign w:val="top"/>
          </w:tcPr>
          <w:p>
            <w:pPr>
              <w:spacing w:line="360" w:lineRule="auto"/>
              <w:rPr>
                <w:rFonts w:ascii="楷体" w:hAnsi="楷体" w:eastAsia="楷体"/>
                <w:sz w:val="24"/>
                <w:szCs w:val="24"/>
              </w:rPr>
            </w:pPr>
            <w:r>
              <w:rPr>
                <w:rFonts w:hint="eastAsia" w:ascii="楷体" w:hAnsi="楷体" w:eastAsia="楷体"/>
                <w:sz w:val="24"/>
                <w:szCs w:val="24"/>
              </w:rPr>
              <w:t>Q7.1.3</w:t>
            </w:r>
          </w:p>
          <w:p>
            <w:pPr>
              <w:spacing w:line="360" w:lineRule="auto"/>
              <w:rPr>
                <w:rFonts w:hint="eastAsia" w:ascii="楷体" w:hAnsi="楷体" w:eastAsia="楷体" w:cs="宋体"/>
                <w:bCs w:val="0"/>
                <w:color w:val="000000"/>
                <w:spacing w:val="0"/>
                <w:kern w:val="2"/>
                <w:sz w:val="24"/>
                <w:szCs w:val="24"/>
                <w:lang w:val="en-US" w:eastAsia="zh-CN" w:bidi="ar-SA"/>
              </w:rPr>
            </w:pPr>
          </w:p>
        </w:tc>
        <w:tc>
          <w:tcPr>
            <w:tcW w:w="3985" w:type="pct"/>
            <w:noWrap w:val="0"/>
            <w:vAlign w:val="center"/>
          </w:tcPr>
          <w:p>
            <w:pPr>
              <w:spacing w:line="360" w:lineRule="auto"/>
              <w:ind w:firstLine="465"/>
              <w:rPr>
                <w:rFonts w:ascii="楷体" w:hAnsi="楷体" w:eastAsia="楷体"/>
                <w:sz w:val="24"/>
                <w:szCs w:val="24"/>
              </w:rPr>
            </w:pPr>
            <w:r>
              <w:rPr>
                <w:rFonts w:hint="eastAsia" w:ascii="楷体" w:hAnsi="楷体" w:eastAsia="楷体"/>
                <w:sz w:val="24"/>
                <w:szCs w:val="24"/>
              </w:rPr>
              <w:t>该公司编制《设备维护保养管理办法》。规定了设备设施的维护保养要求。</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查公司</w:t>
            </w:r>
            <w:r>
              <w:rPr>
                <w:rFonts w:hint="eastAsia" w:ascii="楷体" w:hAnsi="楷体" w:eastAsia="楷体"/>
                <w:sz w:val="24"/>
                <w:szCs w:val="24"/>
                <w:lang w:val="en-US" w:eastAsia="zh-CN"/>
              </w:rPr>
              <w:t>办公</w:t>
            </w:r>
            <w:r>
              <w:rPr>
                <w:rFonts w:hint="eastAsia" w:ascii="楷体" w:hAnsi="楷体" w:eastAsia="楷体"/>
                <w:sz w:val="24"/>
                <w:szCs w:val="24"/>
              </w:rPr>
              <w:t>设备主要包括：办公设备有电脑、电话、传真机、打印/复印/扫描机。有办公楼，基础设施能够满足办公及生产的需求。</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查设备台帐，主要是办公设备，包括：电脑、电话、办公桌椅、展板、文件柜、汽车等；综合部电脑、传真、打印机及网络运行正常，日常维护保养包括对电脑的定期杀毒，车的定期保养、大中小修、定期年检。全部完好。</w:t>
            </w:r>
          </w:p>
          <w:p>
            <w:pPr>
              <w:tabs>
                <w:tab w:val="left" w:pos="6597"/>
              </w:tabs>
              <w:spacing w:line="360" w:lineRule="auto"/>
              <w:ind w:firstLine="480" w:firstLineChars="200"/>
              <w:rPr>
                <w:rFonts w:hint="eastAsia" w:ascii="楷体" w:hAnsi="楷体" w:eastAsia="楷体" w:cs="Times New Roman"/>
                <w:sz w:val="24"/>
                <w:szCs w:val="24"/>
                <w:lang w:val="en-US" w:eastAsia="zh-CN"/>
              </w:rPr>
            </w:pPr>
            <w:r>
              <w:rPr>
                <w:rFonts w:hint="eastAsia" w:ascii="楷体" w:hAnsi="楷体" w:eastAsia="楷体" w:cs="Times New Roman"/>
                <w:sz w:val="24"/>
                <w:szCs w:val="24"/>
                <w:lang w:val="en-US" w:eastAsia="zh-CN"/>
              </w:rPr>
              <w:t>消防栓、灭火器若干，配电箱无异常。</w:t>
            </w:r>
          </w:p>
          <w:p>
            <w:pPr>
              <w:tabs>
                <w:tab w:val="left" w:pos="6597"/>
              </w:tabs>
              <w:spacing w:line="360" w:lineRule="auto"/>
              <w:ind w:firstLine="480" w:firstLineChars="200"/>
              <w:rPr>
                <w:rFonts w:hint="eastAsia" w:ascii="楷体" w:hAnsi="楷体" w:eastAsia="楷体" w:cs="Times New Roman"/>
                <w:sz w:val="24"/>
                <w:szCs w:val="24"/>
              </w:rPr>
            </w:pPr>
            <w:r>
              <w:rPr>
                <w:rFonts w:hint="eastAsia" w:ascii="楷体" w:hAnsi="楷体" w:eastAsia="楷体" w:cs="Times New Roman"/>
                <w:sz w:val="24"/>
                <w:szCs w:val="24"/>
                <w:lang w:val="en-US" w:eastAsia="zh-CN"/>
              </w:rPr>
              <w:t>无</w:t>
            </w:r>
            <w:r>
              <w:rPr>
                <w:rFonts w:hint="eastAsia" w:ascii="楷体" w:hAnsi="楷体" w:eastAsia="楷体" w:cs="Times New Roman"/>
                <w:sz w:val="24"/>
                <w:szCs w:val="24"/>
              </w:rPr>
              <w:t>特种设备：</w:t>
            </w:r>
          </w:p>
          <w:p>
            <w:pPr>
              <w:tabs>
                <w:tab w:val="left" w:pos="6597"/>
              </w:tabs>
              <w:spacing w:line="360" w:lineRule="auto"/>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Times New Roman"/>
                <w:sz w:val="24"/>
                <w:szCs w:val="24"/>
              </w:rPr>
              <w:t>以上基础设施基本可以满足体系运行的需要。</w:t>
            </w:r>
          </w:p>
        </w:tc>
        <w:tc>
          <w:tcPr>
            <w:tcW w:w="160" w:type="pct"/>
            <w:noWrap w:val="0"/>
            <w:vAlign w:val="top"/>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策划</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Q8.1</w:t>
            </w:r>
          </w:p>
        </w:tc>
        <w:tc>
          <w:tcPr>
            <w:tcW w:w="3985" w:type="pct"/>
            <w:noWrap w:val="0"/>
            <w:vAlign w:val="center"/>
          </w:tcPr>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按照与顾客签订的供货合同及相关法律法规要求--中华人民共和物权法、中华人民共和国合同法、中华人民共和国产品质量法、中华人民共和国消费者权益保护法、中华人民共和国专利法、中华人民共和国商标法、中华人民共和国广告法、中华人民共和国反不正当竞争法等；严格执行以上规定；</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公司还制定了：《信息交流沟通控制程序》、《不合格控制程序》、《运行控制管理程序》、《与顾客有关过程控制程序》等程序和相关制度。</w:t>
            </w:r>
          </w:p>
          <w:p>
            <w:pPr>
              <w:tabs>
                <w:tab w:val="left" w:pos="900"/>
              </w:tabs>
              <w:spacing w:line="360" w:lineRule="auto"/>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销售流程：业务洽谈→签订合同→备货→验货→出货→客户管理→持续改进</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zh-CN" w:eastAsia="zh-CN" w:bidi="ar-SA"/>
              </w:rPr>
              <w:t>需确认过程：销售服务过程，</w:t>
            </w:r>
            <w:r>
              <w:rPr>
                <w:rFonts w:hint="eastAsia" w:ascii="楷体" w:hAnsi="楷体" w:eastAsia="楷体" w:cs="宋体"/>
                <w:bCs w:val="0"/>
                <w:color w:val="000000"/>
                <w:spacing w:val="0"/>
                <w:kern w:val="2"/>
                <w:sz w:val="24"/>
                <w:szCs w:val="24"/>
                <w:lang w:val="en-US" w:eastAsia="zh-CN" w:bidi="ar-SA"/>
              </w:rPr>
              <w:t>查见《销售服务人员2021年度人员能力确认表》，对该过程从工作人员能力、服务技巧、个人表现、工作流程等方面进行了确认评价。确认结论：满足要求。确认人：黄振益 胡佳， 时间:2021.9.15。</w:t>
            </w:r>
          </w:p>
          <w:p>
            <w:pPr>
              <w:spacing w:line="360" w:lineRule="auto"/>
              <w:ind w:firstLine="42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该企业无库房，销售员从采购合格供应商订货后，厂家直接发货，在规定时间内和指定地点，厂家会去给客户安装，调试，销售员及时跟进进度，随时向销售经理汇报情况。</w:t>
            </w:r>
          </w:p>
        </w:tc>
        <w:tc>
          <w:tcPr>
            <w:tcW w:w="160" w:type="pct"/>
            <w:noWrap w:val="0"/>
            <w:vAlign w:val="top"/>
          </w:tcPr>
          <w:p>
            <w:pPr>
              <w:jc w:val="cente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98" w:type="pct"/>
            <w:noWrap w:val="0"/>
            <w:vAlign w:val="center"/>
          </w:tcPr>
          <w:p>
            <w:pPr>
              <w:pStyle w:val="12"/>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顾客沟通</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8.2.1</w:t>
            </w:r>
          </w:p>
        </w:tc>
        <w:tc>
          <w:tcPr>
            <w:tcW w:w="398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沟通方式有面谈、电话、网络等联系形式。确认订单时向顾客了解顾客对服务质量、流程进度等的要求；向顾客报告进度，再次确认服务地点、时间等，及时收集顾客对产品的反馈信息，开展顾客满意度调查，包括顾客抱怨和投诉，目前未发生顾客投诉。</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98" w:type="pct"/>
            <w:noWrap w:val="0"/>
            <w:vAlign w:val="center"/>
          </w:tcPr>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与产品和服务要求的确定</w:t>
            </w:r>
          </w:p>
        </w:tc>
        <w:tc>
          <w:tcPr>
            <w:tcW w:w="356" w:type="pct"/>
            <w:noWrap w:val="0"/>
            <w:vAlign w:val="center"/>
          </w:tcPr>
          <w:p>
            <w:pPr>
              <w:tabs>
                <w:tab w:val="left" w:pos="341"/>
              </w:tabs>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w:t>
            </w:r>
            <w:r>
              <w:rPr>
                <w:rFonts w:hint="eastAsia" w:ascii="楷体" w:hAnsi="楷体" w:eastAsia="楷体" w:cs="宋体"/>
                <w:bCs w:val="0"/>
                <w:color w:val="000000"/>
                <w:spacing w:val="0"/>
                <w:kern w:val="2"/>
                <w:sz w:val="24"/>
                <w:szCs w:val="24"/>
                <w:lang w:val="en-US" w:eastAsia="zh-CN" w:bidi="ar-SA"/>
              </w:rPr>
              <w:tab/>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8.2.2</w:t>
            </w:r>
          </w:p>
        </w:tc>
        <w:tc>
          <w:tcPr>
            <w:tcW w:w="3985"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主要涉及：</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Q：环保（水处理）设备的销售</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主要依据合同法、国家法律法规、环境保护法、环境质量标准等要求进行服务，与产品有关的要求主要体现在与顾客所签定的合同/协议中。</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另外，该公司确定并收集了产品质量法、合同法、地方环保条例等相关法律法规，将其中的相关要求作为与产品有关要求的补充。</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该公司目前在服务提供过程中没有附加要求。</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98" w:type="pct"/>
            <w:noWrap w:val="0"/>
            <w:vAlign w:val="center"/>
          </w:tcPr>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产品和服务要求的评审</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Q8.2.3</w:t>
            </w:r>
          </w:p>
        </w:tc>
        <w:tc>
          <w:tcPr>
            <w:tcW w:w="3985" w:type="pct"/>
            <w:noWrap w:val="0"/>
            <w:vAlign w:val="center"/>
          </w:tcPr>
          <w:p>
            <w:pPr>
              <w:spacing w:line="36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1）公司首先在合同中明确了顾客对技术服务的质量要求及技术标准、价格、交货方式、验收方式、货款结算方式等明示要求。</w:t>
            </w:r>
          </w:p>
          <w:p>
            <w:pPr>
              <w:spacing w:line="36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2）确定了技术服务的法律法规要求（技术服务标准等要求）、售后服务等。</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3）该公司与产品有关要求主要在合同中体现，在合同签订之前，由总经理组织各相关部门以会议或会签的方式进行评审。</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抽查销售合同情况</w:t>
            </w:r>
          </w:p>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抽1：客户：浙江华泓新材料有限公司  合同编号：ZJHH-2021-CG-G02D-029</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产品名称：再生尾气处理系统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工期约定：依据技术协议，按照工程进度提供。</w:t>
            </w:r>
          </w:p>
          <w:p>
            <w:pPr>
              <w:pStyle w:val="2"/>
              <w:rPr>
                <w:rFonts w:hint="default"/>
                <w:lang w:val="en-US" w:eastAsia="zh-CN"/>
              </w:rPr>
            </w:pPr>
          </w:p>
          <w:p>
            <w:pPr>
              <w:spacing w:line="360" w:lineRule="exact"/>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抽2：客户：东华能源（茂名）有限公司  合同编号：DHMM-20027-UT-RM021</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产品名称：原水净化装置；</w:t>
            </w:r>
          </w:p>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工期约定：2021年12月30日内完成。</w:t>
            </w:r>
          </w:p>
          <w:p>
            <w:pPr>
              <w:tabs>
                <w:tab w:val="left" w:pos="1679"/>
              </w:tabs>
              <w:rPr>
                <w:rFonts w:hint="eastAsia" w:ascii="楷体" w:hAnsi="楷体" w:eastAsia="楷体" w:cs="宋体"/>
                <w:bCs w:val="0"/>
                <w:color w:val="000000"/>
                <w:spacing w:val="0"/>
                <w:kern w:val="2"/>
                <w:sz w:val="24"/>
                <w:szCs w:val="24"/>
                <w:lang w:val="en-US" w:eastAsia="zh-CN" w:bidi="ar-SA"/>
              </w:rPr>
            </w:pPr>
          </w:p>
          <w:p>
            <w:pPr>
              <w:spacing w:line="360" w:lineRule="exact"/>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抽3：客户：东营市胜凯石化设备有限公司  合同编号：DYSKA20211121-1</w:t>
            </w:r>
          </w:p>
          <w:p>
            <w:pPr>
              <w:spacing w:line="360" w:lineRule="exact"/>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产品名称：放空处理系统</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工期约定：</w:t>
            </w:r>
            <w:bookmarkStart w:id="0" w:name="_GoBack"/>
            <w:r>
              <w:rPr>
                <w:rFonts w:hint="eastAsia" w:ascii="楷体" w:hAnsi="楷体" w:eastAsia="楷体" w:cs="宋体"/>
                <w:bCs w:val="0"/>
                <w:color w:val="000000"/>
                <w:spacing w:val="0"/>
                <w:kern w:val="2"/>
                <w:sz w:val="24"/>
                <w:szCs w:val="24"/>
                <w:lang w:val="en-US" w:eastAsia="zh-CN" w:bidi="ar-SA"/>
              </w:rPr>
              <w:t>合同生效后10个月内完成</w:t>
            </w:r>
            <w:bookmarkEnd w:id="0"/>
            <w:r>
              <w:rPr>
                <w:rFonts w:hint="eastAsia" w:ascii="楷体" w:hAnsi="楷体" w:eastAsia="楷体" w:cs="宋体"/>
                <w:bCs w:val="0"/>
                <w:color w:val="000000"/>
                <w:spacing w:val="0"/>
                <w:kern w:val="2"/>
                <w:sz w:val="24"/>
                <w:szCs w:val="24"/>
                <w:lang w:val="en-US" w:eastAsia="zh-CN" w:bidi="ar-SA"/>
              </w:rPr>
              <w:t>。</w:t>
            </w:r>
            <w:r>
              <w:rPr>
                <w:rFonts w:hint="eastAsia" w:ascii="楷体" w:hAnsi="楷体" w:eastAsia="楷体" w:cs="宋体"/>
                <w:bCs w:val="0"/>
                <w:color w:val="000000"/>
                <w:spacing w:val="0"/>
                <w:kern w:val="2"/>
                <w:sz w:val="24"/>
                <w:szCs w:val="24"/>
                <w:lang w:val="en-US" w:eastAsia="zh-CN" w:bidi="ar-SA"/>
              </w:rPr>
              <w:tab/>
            </w:r>
          </w:p>
          <w:p>
            <w:pPr>
              <w:spacing w:line="36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以上合同均规定了技术服务内容、双方的权利义务、服务交付方式等内容、交付期等内容，</w:t>
            </w:r>
          </w:p>
          <w:p>
            <w:pPr>
              <w:spacing w:line="36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顾客要求明确 。均有双方法人签字和加盖的公章</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见以上《合同评审登记表》，评审内容包括  对服务交付方式、交付能力、质量要求等进行了评审，认为可以满足。有总经理签字,同意签订合同。</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产品和服务要求的变更</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Q8.2.4</w:t>
            </w:r>
          </w:p>
        </w:tc>
        <w:tc>
          <w:tcPr>
            <w:tcW w:w="398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经询问，未发生合同变更及顾客要求发生变更造成与先前合同或订单要求表述存在差异的情况。</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pStyle w:val="12"/>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外部提供产品、服务和过程控制</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Q8.4</w:t>
            </w:r>
          </w:p>
          <w:p>
            <w:pPr>
              <w:pStyle w:val="12"/>
              <w:rPr>
                <w:rFonts w:hint="eastAsia" w:ascii="楷体" w:hAnsi="楷体" w:eastAsia="楷体" w:cs="宋体"/>
                <w:bCs w:val="0"/>
                <w:color w:val="000000"/>
                <w:spacing w:val="0"/>
                <w:kern w:val="2"/>
                <w:sz w:val="24"/>
                <w:szCs w:val="24"/>
                <w:lang w:val="en-US" w:eastAsia="zh-CN" w:bidi="ar-SA"/>
              </w:rPr>
            </w:pPr>
          </w:p>
        </w:tc>
        <w:tc>
          <w:tcPr>
            <w:tcW w:w="398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查阅了《合格供方名录》，抽查如下：</w:t>
            </w:r>
          </w:p>
          <w:p>
            <w:pPr>
              <w:pStyle w:val="12"/>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序号</w:t>
            </w:r>
            <w:r>
              <w:rPr>
                <w:rFonts w:hint="eastAsia" w:ascii="楷体" w:hAnsi="楷体" w:eastAsia="楷体" w:cs="宋体"/>
                <w:bCs w:val="0"/>
                <w:color w:val="000000"/>
                <w:spacing w:val="0"/>
                <w:kern w:val="2"/>
                <w:sz w:val="24"/>
                <w:szCs w:val="24"/>
                <w:lang w:val="en-US" w:eastAsia="zh-CN" w:bidi="ar-SA"/>
              </w:rPr>
              <w:tab/>
            </w:r>
            <w:r>
              <w:rPr>
                <w:rFonts w:hint="eastAsia" w:ascii="楷体" w:hAnsi="楷体" w:eastAsia="楷体" w:cs="宋体"/>
                <w:bCs w:val="0"/>
                <w:color w:val="000000"/>
                <w:spacing w:val="0"/>
                <w:kern w:val="2"/>
                <w:sz w:val="24"/>
                <w:szCs w:val="24"/>
                <w:lang w:val="en-US" w:eastAsia="zh-CN" w:bidi="ar-SA"/>
              </w:rPr>
              <w:t>供方名称</w:t>
            </w:r>
            <w:r>
              <w:rPr>
                <w:rFonts w:hint="eastAsia" w:ascii="楷体" w:hAnsi="楷体" w:eastAsia="楷体" w:cs="宋体"/>
                <w:bCs w:val="0"/>
                <w:color w:val="000000"/>
                <w:spacing w:val="0"/>
                <w:kern w:val="2"/>
                <w:sz w:val="24"/>
                <w:szCs w:val="24"/>
                <w:lang w:val="en-US" w:eastAsia="zh-CN" w:bidi="ar-SA"/>
              </w:rPr>
              <w:tab/>
            </w:r>
            <w:r>
              <w:rPr>
                <w:rFonts w:hint="eastAsia" w:ascii="楷体" w:hAnsi="楷体" w:eastAsia="楷体" w:cs="宋体"/>
                <w:bCs w:val="0"/>
                <w:color w:val="000000"/>
                <w:spacing w:val="0"/>
                <w:kern w:val="2"/>
                <w:sz w:val="24"/>
                <w:szCs w:val="24"/>
                <w:lang w:val="en-US" w:eastAsia="zh-CN" w:bidi="ar-SA"/>
              </w:rPr>
              <w:t xml:space="preserve">                     提供产品名称</w:t>
            </w:r>
            <w:r>
              <w:rPr>
                <w:rFonts w:hint="eastAsia" w:ascii="楷体" w:hAnsi="楷体" w:eastAsia="楷体" w:cs="宋体"/>
                <w:bCs w:val="0"/>
                <w:color w:val="000000"/>
                <w:spacing w:val="0"/>
                <w:kern w:val="2"/>
                <w:sz w:val="24"/>
                <w:szCs w:val="24"/>
                <w:lang w:val="en-US" w:eastAsia="zh-CN" w:bidi="ar-SA"/>
              </w:rPr>
              <w:tab/>
            </w:r>
            <w:r>
              <w:rPr>
                <w:rFonts w:hint="eastAsia" w:ascii="楷体" w:hAnsi="楷体" w:eastAsia="楷体" w:cs="宋体"/>
                <w:bCs w:val="0"/>
                <w:color w:val="000000"/>
                <w:spacing w:val="0"/>
                <w:kern w:val="2"/>
                <w:sz w:val="24"/>
                <w:szCs w:val="24"/>
                <w:lang w:val="en-US" w:eastAsia="zh-CN" w:bidi="ar-SA"/>
              </w:rPr>
              <w:t xml:space="preserve">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江苏柯兰德流体设备有限公司</w:t>
            </w:r>
            <w:r>
              <w:rPr>
                <w:rFonts w:hint="eastAsia" w:ascii="楷体" w:hAnsi="楷体" w:eastAsia="楷体" w:cs="宋体"/>
                <w:bCs w:val="0"/>
                <w:color w:val="000000"/>
                <w:spacing w:val="0"/>
                <w:kern w:val="2"/>
                <w:sz w:val="24"/>
                <w:szCs w:val="24"/>
                <w:lang w:val="en-US" w:eastAsia="zh-CN" w:bidi="ar-SA"/>
              </w:rPr>
              <w:tab/>
            </w:r>
            <w:r>
              <w:rPr>
                <w:rFonts w:hint="eastAsia" w:ascii="楷体" w:hAnsi="楷体" w:eastAsia="楷体" w:cs="宋体"/>
                <w:bCs w:val="0"/>
                <w:color w:val="000000"/>
                <w:spacing w:val="0"/>
                <w:kern w:val="2"/>
                <w:sz w:val="24"/>
                <w:szCs w:val="24"/>
                <w:lang w:val="en-US" w:eastAsia="zh-CN" w:bidi="ar-SA"/>
              </w:rPr>
              <w:t xml:space="preserve">           仪表</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宜兴宇飞环保科技有限公司</w:t>
            </w:r>
            <w:r>
              <w:rPr>
                <w:rFonts w:hint="eastAsia" w:ascii="楷体" w:hAnsi="楷体" w:eastAsia="楷体" w:cs="宋体"/>
                <w:bCs w:val="0"/>
                <w:color w:val="000000"/>
                <w:spacing w:val="0"/>
                <w:kern w:val="2"/>
                <w:sz w:val="24"/>
                <w:szCs w:val="24"/>
                <w:lang w:val="en-US" w:eastAsia="zh-CN" w:bidi="ar-SA"/>
              </w:rPr>
              <w:tab/>
            </w:r>
            <w:r>
              <w:rPr>
                <w:rFonts w:hint="eastAsia" w:ascii="楷体" w:hAnsi="楷体" w:eastAsia="楷体" w:cs="宋体"/>
                <w:bCs w:val="0"/>
                <w:color w:val="000000"/>
                <w:spacing w:val="0"/>
                <w:kern w:val="2"/>
                <w:sz w:val="24"/>
                <w:szCs w:val="24"/>
                <w:lang w:val="en-US" w:eastAsia="zh-CN" w:bidi="ar-SA"/>
              </w:rPr>
              <w:t xml:space="preserve">              计量泵</w:t>
            </w:r>
            <w:r>
              <w:rPr>
                <w:rFonts w:hint="eastAsia" w:ascii="楷体" w:hAnsi="楷体" w:eastAsia="楷体" w:cs="宋体"/>
                <w:bCs w:val="0"/>
                <w:color w:val="000000"/>
                <w:spacing w:val="0"/>
                <w:kern w:val="2"/>
                <w:sz w:val="24"/>
                <w:szCs w:val="24"/>
                <w:lang w:val="en-US" w:eastAsia="zh-CN" w:bidi="ar-SA"/>
              </w:rPr>
              <w:tab/>
            </w:r>
            <w:r>
              <w:rPr>
                <w:rFonts w:hint="eastAsia" w:ascii="楷体" w:hAnsi="楷体" w:eastAsia="楷体" w:cs="宋体"/>
                <w:bCs w:val="0"/>
                <w:color w:val="000000"/>
                <w:spacing w:val="0"/>
                <w:kern w:val="2"/>
                <w:sz w:val="24"/>
                <w:szCs w:val="24"/>
                <w:lang w:val="en-US" w:eastAsia="zh-CN" w:bidi="ar-SA"/>
              </w:rPr>
              <w:t xml:space="preserve">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无锡市长庆化工防腐设备有限公司         喷射器、喷射喷嘴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在外部提供产品、服务和过程控制程序中规定了供方选择评价和重新评价的方法和准则，有《供方绩效准则》，提供《供方评定记录表》通过调查供方的质量保证能力如：经营合法性、产品质量、质量保证能力、价格、交货、服务、质量管理体系等方面进行评价。</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生产和服务提供的控制</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Q8.5.1</w:t>
            </w:r>
          </w:p>
        </w:tc>
        <w:tc>
          <w:tcPr>
            <w:tcW w:w="398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《管理手册》中规定了服务过程受控条件。得到工作指标、任务单。</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●根据项目要求，采购部下达任务单，包括项目编号、服务内容、完成时限等。</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●获得和使用适宜的监视测量资源：对服务质量进行检查、对顾客满意度进行调查，制定对应表格。</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●抽查过程监视和测量情况，提供了服务过程记录及检验记录。对各工序等过程的监控记录予以控制。</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查：《服务工作质量检查表》，针对胡佳、黄振益等销售服务人员的仪表仪容、服务技能、服务态度、工作纪律进行考核，考核结果：合格，考核人：吕方平</w:t>
            </w:r>
          </w:p>
          <w:p>
            <w:pPr>
              <w:rPr>
                <w:rFonts w:hint="default"/>
                <w:lang w:val="en-US" w:eastAsia="zh-CN"/>
              </w:rPr>
            </w:pPr>
            <w:r>
              <w:rPr>
                <w:rFonts w:hint="eastAsia" w:ascii="楷体" w:hAnsi="楷体" w:eastAsia="楷体" w:cs="宋体"/>
                <w:bCs w:val="0"/>
                <w:color w:val="000000"/>
                <w:spacing w:val="0"/>
                <w:kern w:val="2"/>
                <w:sz w:val="24"/>
                <w:szCs w:val="24"/>
                <w:lang w:val="en-US" w:eastAsia="zh-CN" w:bidi="ar-SA"/>
              </w:rPr>
              <w:t>查《管理人员/服务人员 2021年度考核评估表》，针黄振益、胡佳对服务绩效、个人表现进行评估，评估结果：合格，评估人：吕方平</w:t>
            </w:r>
          </w:p>
          <w:p>
            <w:pPr>
              <w:pStyle w:val="12"/>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查《销售服务检查记录》，2021年10月31日、2021年11月30日、2021年12月30日的检查记录，均复合要求</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●使用适宜的设备和过程环境：有台式电脑、复印机、打印机、传真机、展板等办公用品，可以满足工作需要。设备数量保证，维修及时。查见办公远程视频整洁，电脑、传真、打印机及网络运行正常。</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●指派胜任的人员，包括所要求的资格，见Q7.2记录。</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●需要确认的过程：查管理手册，该公司目前经识别确认的特殊过程为销售服务过程。</w:t>
            </w:r>
            <w:r>
              <w:rPr>
                <w:rFonts w:hint="eastAsia" w:ascii="楷体" w:hAnsi="楷体" w:eastAsia="楷体" w:cs="宋体"/>
                <w:bCs w:val="0"/>
                <w:color w:val="000000"/>
                <w:spacing w:val="0"/>
                <w:kern w:val="2"/>
                <w:sz w:val="24"/>
                <w:szCs w:val="24"/>
                <w:lang w:val="zh-CN" w:eastAsia="zh-CN" w:bidi="ar-SA"/>
              </w:rPr>
              <w:t>需确认过程：销售服务过程，</w:t>
            </w:r>
            <w:r>
              <w:rPr>
                <w:rFonts w:hint="eastAsia" w:ascii="楷体" w:hAnsi="楷体" w:eastAsia="楷体" w:cs="宋体"/>
                <w:bCs w:val="0"/>
                <w:color w:val="000000"/>
                <w:spacing w:val="0"/>
                <w:kern w:val="2"/>
                <w:sz w:val="24"/>
                <w:szCs w:val="24"/>
                <w:lang w:val="en-US" w:eastAsia="zh-CN" w:bidi="ar-SA"/>
              </w:rPr>
              <w:t>查见《销售服务人员2021年度人员能力确认表》，对该过程从工作人员能力、服务技巧、个人表现、工作流程等方面进行了确认评价。确认结论：满足要求。确认人：吕方平， 时间:2021.9.15。</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●通过对客户分类、区域标识，专人负责专项管理，批次归档保存等措施防止人为差错的发生。</w:t>
            </w:r>
            <w:r>
              <w:rPr>
                <w:rFonts w:hint="eastAsia" w:ascii="楷体" w:hAnsi="楷体" w:eastAsia="楷体" w:cs="宋体"/>
                <w:bCs w:val="0"/>
                <w:color w:val="000000"/>
                <w:spacing w:val="0"/>
                <w:kern w:val="2"/>
                <w:sz w:val="24"/>
                <w:szCs w:val="24"/>
                <w:lang w:val="en-US" w:eastAsia="zh-CN" w:bidi="ar-SA"/>
              </w:rPr>
              <w:br w:type="textWrapping"/>
            </w:r>
            <w:r>
              <w:rPr>
                <w:rFonts w:hint="eastAsia" w:ascii="楷体" w:hAnsi="楷体" w:eastAsia="楷体" w:cs="宋体"/>
                <w:bCs w:val="0"/>
                <w:color w:val="000000"/>
                <w:spacing w:val="0"/>
                <w:kern w:val="2"/>
                <w:sz w:val="24"/>
                <w:szCs w:val="24"/>
                <w:lang w:val="en-US" w:eastAsia="zh-CN" w:bidi="ar-SA"/>
              </w:rPr>
              <w:t>●服务完成后通知客户确认，销售部通过电话/网络跟踪沟通及定期拜访等方式确认交付及交付后服务的满意程度，做好售后服务工作，详见Q9.1.2审核记录。</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●查见综合部电脑、传真、打印机及网络运行正常；物品放置基本有秩序。</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标识和可追溯性</w:t>
            </w:r>
          </w:p>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顾客或外供方财产</w:t>
            </w:r>
          </w:p>
        </w:tc>
        <w:tc>
          <w:tcPr>
            <w:tcW w:w="356" w:type="pct"/>
            <w:noWrap w:val="0"/>
            <w:vAlign w:val="top"/>
          </w:tcPr>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 8.5.2</w:t>
            </w:r>
          </w:p>
          <w:p>
            <w:pPr>
              <w:spacing w:line="400" w:lineRule="exac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8.5.3</w:t>
            </w:r>
          </w:p>
          <w:p>
            <w:pPr>
              <w:spacing w:line="400" w:lineRule="exact"/>
              <w:rPr>
                <w:rFonts w:hint="eastAsia" w:ascii="楷体" w:hAnsi="楷体" w:eastAsia="楷体" w:cs="宋体"/>
                <w:bCs w:val="0"/>
                <w:color w:val="000000"/>
                <w:spacing w:val="0"/>
                <w:kern w:val="2"/>
                <w:sz w:val="24"/>
                <w:szCs w:val="24"/>
                <w:lang w:val="en-US" w:eastAsia="zh-CN" w:bidi="ar-SA"/>
              </w:rPr>
            </w:pPr>
          </w:p>
        </w:tc>
        <w:tc>
          <w:tcPr>
            <w:tcW w:w="3985" w:type="pct"/>
            <w:noWrap w:val="0"/>
            <w:vAlign w:val="center"/>
          </w:tcPr>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US" w:eastAsia="zh-CN" w:bidi="ar-SA"/>
              </w:rPr>
              <w:t>销售人员</w:t>
            </w:r>
            <w:r>
              <w:rPr>
                <w:rFonts w:hint="eastAsia" w:ascii="楷体" w:hAnsi="楷体" w:eastAsia="楷体" w:cs="宋体"/>
                <w:bCs w:val="0"/>
                <w:color w:val="000000"/>
                <w:spacing w:val="0"/>
                <w:kern w:val="2"/>
                <w:sz w:val="24"/>
                <w:szCs w:val="24"/>
                <w:lang w:val="en-GB" w:eastAsia="zh-CN" w:bidi="ar-SA"/>
              </w:rPr>
              <w:t>每次配送商品都要将商品的有关信息进行记录，保持商品在销售及售后的全过程中处于可识别状态，以销售人员在销售文件和资料上的签字或印章为标识,工作人员、销售人员服务质量以销售部经理、公司的考核评价、月检查评定为状态标识。</w:t>
            </w:r>
          </w:p>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在</w:t>
            </w:r>
            <w:r>
              <w:rPr>
                <w:rFonts w:hint="eastAsia" w:ascii="楷体" w:hAnsi="楷体" w:eastAsia="楷体" w:cs="宋体"/>
                <w:bCs w:val="0"/>
                <w:color w:val="000000"/>
                <w:spacing w:val="0"/>
                <w:kern w:val="2"/>
                <w:sz w:val="24"/>
                <w:szCs w:val="24"/>
                <w:lang w:val="en-US" w:eastAsia="zh-CN" w:bidi="ar-SA"/>
              </w:rPr>
              <w:t>该</w:t>
            </w:r>
            <w:r>
              <w:rPr>
                <w:rFonts w:hint="eastAsia" w:ascii="楷体" w:hAnsi="楷体" w:eastAsia="楷体" w:cs="宋体"/>
                <w:bCs w:val="0"/>
                <w:color w:val="000000"/>
                <w:spacing w:val="0"/>
                <w:kern w:val="2"/>
                <w:sz w:val="24"/>
                <w:szCs w:val="24"/>
                <w:lang w:val="en-GB" w:eastAsia="zh-CN" w:bidi="ar-SA"/>
              </w:rPr>
              <w:t xml:space="preserve">单位控制下或本单位使用的顾客财产，识别、验证、保护和维护供其使用或构成产品一部分的顾客财产，顾客财产一般包括：a) 顾客已付款或已定货未提的商品；b) 顾客自带的车辆及装运工具设备等。 </w:t>
            </w:r>
          </w:p>
          <w:p>
            <w:pPr>
              <w:spacing w:line="360" w:lineRule="auto"/>
              <w:ind w:firstLine="480" w:firstLineChars="200"/>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US" w:eastAsia="zh-CN" w:bidi="ar-SA"/>
              </w:rPr>
              <w:t>销售部</w:t>
            </w:r>
            <w:r>
              <w:rPr>
                <w:rFonts w:hint="eastAsia" w:ascii="楷体" w:hAnsi="楷体" w:eastAsia="楷体" w:cs="宋体"/>
                <w:bCs w:val="0"/>
                <w:color w:val="000000"/>
                <w:spacing w:val="0"/>
                <w:kern w:val="2"/>
                <w:sz w:val="24"/>
                <w:szCs w:val="24"/>
                <w:lang w:val="en-GB" w:eastAsia="zh-CN" w:bidi="ar-SA"/>
              </w:rPr>
              <w:t>部负责接收和验证顾客提供的财产，并记录验证结果。</w:t>
            </w:r>
          </w:p>
          <w:p>
            <w:pPr>
              <w:spacing w:line="360" w:lineRule="auto"/>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销售部</w:t>
            </w:r>
            <w:r>
              <w:rPr>
                <w:rFonts w:hint="eastAsia" w:ascii="楷体" w:hAnsi="楷体" w:eastAsia="楷体" w:cs="宋体"/>
                <w:bCs w:val="0"/>
                <w:color w:val="000000"/>
                <w:spacing w:val="0"/>
                <w:kern w:val="2"/>
                <w:sz w:val="24"/>
                <w:szCs w:val="24"/>
                <w:lang w:val="en-GB" w:eastAsia="zh-CN" w:bidi="ar-SA"/>
              </w:rPr>
              <w:t>负责维护和使用顾客财产，若顾客财产发生丢失、损坏或发现不适用的情况时，应报告顾客，并保持记录。</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98"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防护</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Q8.5.4</w:t>
            </w:r>
          </w:p>
        </w:tc>
        <w:tc>
          <w:tcPr>
            <w:tcW w:w="3985" w:type="pct"/>
            <w:noWrap w:val="0"/>
            <w:vAlign w:val="top"/>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企业根据客户需求下达采购订单，经检验合格后，产品放置在规定的区域，避免日晒、雨淋等，远程查看，产品的防护基本符合要求，产品在搬运过程中规定轻搬轻放，专区分类存放。</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交付后的活动</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Q8.5.5</w:t>
            </w:r>
          </w:p>
          <w:p>
            <w:pPr>
              <w:rPr>
                <w:rFonts w:hint="eastAsia" w:ascii="楷体" w:hAnsi="楷体" w:eastAsia="楷体" w:cs="宋体"/>
                <w:bCs w:val="0"/>
                <w:color w:val="000000"/>
                <w:spacing w:val="0"/>
                <w:kern w:val="2"/>
                <w:sz w:val="24"/>
                <w:szCs w:val="24"/>
                <w:lang w:val="en-US" w:eastAsia="zh-CN" w:bidi="ar-SA"/>
              </w:rPr>
            </w:pPr>
          </w:p>
        </w:tc>
        <w:tc>
          <w:tcPr>
            <w:tcW w:w="3985" w:type="pct"/>
            <w:noWrap w:val="0"/>
            <w:vAlign w:val="center"/>
          </w:tcPr>
          <w:p>
            <w:pPr>
              <w:rPr>
                <w:rFonts w:hint="eastAsia" w:ascii="楷体" w:hAnsi="楷体" w:eastAsia="楷体" w:cs="宋体"/>
                <w:bCs w:val="0"/>
                <w:color w:val="000000"/>
                <w:spacing w:val="0"/>
                <w:kern w:val="2"/>
                <w:sz w:val="24"/>
                <w:szCs w:val="24"/>
                <w:lang w:val="en-US" w:eastAsia="zh-CN" w:bidi="ar-SA"/>
              </w:rPr>
            </w:pPr>
          </w:p>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该公司交付后主要是</w:t>
            </w:r>
            <w:r>
              <w:rPr>
                <w:rFonts w:hint="eastAsia" w:ascii="楷体" w:hAnsi="楷体" w:eastAsia="楷体" w:cs="宋体"/>
                <w:bCs w:val="0"/>
                <w:color w:val="000000"/>
                <w:spacing w:val="0"/>
                <w:kern w:val="2"/>
                <w:sz w:val="24"/>
                <w:szCs w:val="24"/>
                <w:lang w:val="en-US" w:eastAsia="zh-CN" w:bidi="ar-SA"/>
              </w:rPr>
              <w:t>上门维护，更换配件</w:t>
            </w:r>
            <w:r>
              <w:rPr>
                <w:rFonts w:hint="eastAsia" w:ascii="楷体" w:hAnsi="楷体" w:eastAsia="楷体" w:cs="宋体"/>
                <w:bCs w:val="0"/>
                <w:color w:val="000000"/>
                <w:spacing w:val="0"/>
                <w:kern w:val="2"/>
                <w:sz w:val="24"/>
                <w:szCs w:val="24"/>
                <w:lang w:val="en-GB" w:eastAsia="zh-CN" w:bidi="ar-SA"/>
              </w:rPr>
              <w:t>，同时跟踪项目进度、顾客回访、顾客反馈、顾客满意度调查等形式进行。与该部门负责人交流，该公司根据顾客交付后一周内进行电话进行顾客回访，无不满意情况发生，体系运行至今无顾客不良反馈。</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采购的物质经验收合格后由仓库进行管理；销售的产品根据数量的多少、发运的地点及包装要求由销售人员联系物流，在规定的时间内将产品送到客户指定地点。</w:t>
            </w:r>
          </w:p>
          <w:p>
            <w:pPr>
              <w:rPr>
                <w:rFonts w:hint="eastAsia" w:ascii="楷体" w:hAnsi="楷体" w:eastAsia="楷体" w:cs="宋体"/>
                <w:bCs w:val="0"/>
                <w:color w:val="000000"/>
                <w:spacing w:val="0"/>
                <w:kern w:val="2"/>
                <w:sz w:val="24"/>
                <w:szCs w:val="24"/>
                <w:lang w:val="en-US" w:eastAsia="zh-CN" w:bidi="ar-SA"/>
              </w:rPr>
            </w:pP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更改的控制</w:t>
            </w:r>
          </w:p>
          <w:p>
            <w:pPr>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Q8.5.6</w:t>
            </w:r>
          </w:p>
          <w:p>
            <w:pPr>
              <w:rPr>
                <w:rFonts w:hint="eastAsia" w:ascii="楷体" w:hAnsi="楷体" w:eastAsia="楷体" w:cs="宋体"/>
                <w:bCs w:val="0"/>
                <w:color w:val="000000"/>
                <w:spacing w:val="0"/>
                <w:kern w:val="2"/>
                <w:sz w:val="24"/>
                <w:szCs w:val="24"/>
                <w:lang w:val="en-US" w:eastAsia="zh-CN" w:bidi="ar-SA"/>
              </w:rPr>
            </w:pPr>
          </w:p>
        </w:tc>
        <w:tc>
          <w:tcPr>
            <w:tcW w:w="3985" w:type="pct"/>
            <w:noWrap w:val="0"/>
            <w:vAlign w:val="center"/>
          </w:tcPr>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组织应对销售合同的更改进行评审，以确保稳定的符合要求。</w:t>
            </w:r>
          </w:p>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组织应保留形成文件的信息，包括有关更改评审结果、授权进行更改的人员以及根据评审所采取的必要措施。</w:t>
            </w:r>
          </w:p>
          <w:p>
            <w:pPr>
              <w:rPr>
                <w:rFonts w:hint="eastAsia" w:ascii="楷体" w:hAnsi="楷体" w:eastAsia="楷体" w:cs="宋体"/>
                <w:bCs w:val="0"/>
                <w:color w:val="000000"/>
                <w:spacing w:val="0"/>
                <w:kern w:val="2"/>
                <w:sz w:val="24"/>
                <w:szCs w:val="24"/>
                <w:lang w:val="en-GB" w:eastAsia="zh-CN" w:bidi="ar-SA"/>
              </w:rPr>
            </w:pPr>
            <w:r>
              <w:rPr>
                <w:rFonts w:hint="eastAsia" w:ascii="楷体" w:hAnsi="楷体" w:eastAsia="楷体" w:cs="宋体"/>
                <w:bCs w:val="0"/>
                <w:color w:val="000000"/>
                <w:spacing w:val="0"/>
                <w:kern w:val="2"/>
                <w:sz w:val="24"/>
                <w:szCs w:val="24"/>
                <w:lang w:val="en-GB" w:eastAsia="zh-CN" w:bidi="ar-SA"/>
              </w:rPr>
              <w:t>经询问，体系运行至今无更改情况发生。</w:t>
            </w:r>
          </w:p>
          <w:p>
            <w:pPr>
              <w:rPr>
                <w:rFonts w:hint="eastAsia" w:ascii="楷体" w:hAnsi="楷体" w:eastAsia="楷体" w:cs="宋体"/>
                <w:bCs w:val="0"/>
                <w:color w:val="000000"/>
                <w:spacing w:val="0"/>
                <w:kern w:val="2"/>
                <w:sz w:val="24"/>
                <w:szCs w:val="24"/>
                <w:lang w:val="en-US" w:eastAsia="zh-CN" w:bidi="ar-SA"/>
              </w:rPr>
            </w:pP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检验验收</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Q8.6</w:t>
            </w:r>
          </w:p>
          <w:p>
            <w:pPr>
              <w:rPr>
                <w:rFonts w:hint="eastAsia" w:ascii="楷体" w:hAnsi="楷体" w:eastAsia="楷体" w:cs="宋体"/>
                <w:bCs w:val="0"/>
                <w:color w:val="000000"/>
                <w:spacing w:val="0"/>
                <w:kern w:val="2"/>
                <w:sz w:val="24"/>
                <w:szCs w:val="24"/>
                <w:lang w:val="en-US" w:eastAsia="zh-CN" w:bidi="ar-SA"/>
              </w:rPr>
            </w:pPr>
          </w:p>
        </w:tc>
        <w:tc>
          <w:tcPr>
            <w:tcW w:w="398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GB" w:eastAsia="zh-CN" w:bidi="ar-SA"/>
              </w:rPr>
              <w:t>公司产品和服务的放行，需得到</w:t>
            </w:r>
            <w:r>
              <w:rPr>
                <w:rFonts w:hint="eastAsia" w:ascii="楷体" w:hAnsi="楷体" w:eastAsia="楷体" w:cs="宋体"/>
                <w:bCs w:val="0"/>
                <w:color w:val="000000"/>
                <w:spacing w:val="0"/>
                <w:kern w:val="2"/>
                <w:sz w:val="24"/>
                <w:szCs w:val="24"/>
                <w:lang w:val="en-US" w:eastAsia="zh-CN" w:bidi="ar-SA"/>
              </w:rPr>
              <w:t>销售部</w:t>
            </w:r>
            <w:r>
              <w:rPr>
                <w:rFonts w:hint="eastAsia" w:ascii="楷体" w:hAnsi="楷体" w:eastAsia="楷体" w:cs="宋体"/>
                <w:bCs w:val="0"/>
                <w:color w:val="000000"/>
                <w:spacing w:val="0"/>
                <w:kern w:val="2"/>
                <w:sz w:val="24"/>
                <w:szCs w:val="24"/>
                <w:lang w:val="en-GB" w:eastAsia="zh-CN" w:bidi="ar-SA"/>
              </w:rPr>
              <w:t>经理</w:t>
            </w:r>
            <w:r>
              <w:rPr>
                <w:rFonts w:hint="eastAsia" w:ascii="楷体" w:hAnsi="楷体" w:eastAsia="楷体" w:cs="宋体"/>
                <w:bCs w:val="0"/>
                <w:color w:val="000000"/>
                <w:spacing w:val="0"/>
                <w:kern w:val="2"/>
                <w:sz w:val="24"/>
                <w:szCs w:val="24"/>
                <w:lang w:val="en-US" w:eastAsia="zh-CN" w:bidi="ar-SA"/>
              </w:rPr>
              <w:t xml:space="preserve">黄振益 </w:t>
            </w:r>
            <w:r>
              <w:rPr>
                <w:rFonts w:hint="eastAsia" w:ascii="楷体" w:hAnsi="楷体" w:eastAsia="楷体" w:cs="宋体"/>
                <w:bCs w:val="0"/>
                <w:color w:val="000000"/>
                <w:spacing w:val="0"/>
                <w:kern w:val="2"/>
                <w:sz w:val="24"/>
                <w:szCs w:val="24"/>
                <w:lang w:val="en-GB" w:eastAsia="zh-CN" w:bidi="ar-SA"/>
              </w:rPr>
              <w:t>的批准后放行。</w:t>
            </w:r>
            <w:r>
              <w:rPr>
                <w:rFonts w:hint="eastAsia" w:ascii="楷体" w:hAnsi="楷体" w:eastAsia="楷体" w:cs="宋体"/>
                <w:bCs w:val="0"/>
                <w:color w:val="000000"/>
                <w:spacing w:val="0"/>
                <w:kern w:val="2"/>
                <w:sz w:val="24"/>
                <w:szCs w:val="24"/>
                <w:lang w:val="en-US" w:eastAsia="zh-CN" w:bidi="ar-SA"/>
              </w:rPr>
              <w:t>。</w:t>
            </w:r>
          </w:p>
          <w:p>
            <w:pPr>
              <w:pStyle w:val="12"/>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1、采购产品验收：</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抽1： 进货检验记录表2022.3.4，生产单位：江苏柯兰德流体设备有限公司</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物资名称：仪表等；，</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验证项目：查核相关企业资质证书、数量、合格证、出厂检验报告单、生产企业资质、检测报告、包装与外观情况等。</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结论：合格   检验员：黄振益  </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抽2： 进货检验记录表2022.2.14，生产单位：宜兴宇飞环保科技有限公司</w:t>
            </w:r>
          </w:p>
          <w:p>
            <w:pPr>
              <w:ind w:firstLine="720" w:firstLineChars="3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物资名称：计量泵等； </w:t>
            </w:r>
          </w:p>
          <w:p>
            <w:pPr>
              <w:ind w:firstLine="720" w:firstLineChars="3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验证项目：查核相关企业资质证书、数量、合格证、出厂检验报告单、生产企业资质、检测报告、包装与外观情况等。</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结论：合格   检验员：黄振益</w:t>
            </w:r>
          </w:p>
          <w:p>
            <w:pPr>
              <w:ind w:firstLine="480" w:firstLineChars="200"/>
              <w:rPr>
                <w:rFonts w:hint="eastAsia" w:ascii="楷体" w:hAnsi="楷体" w:eastAsia="楷体" w:cs="宋体"/>
                <w:bCs w:val="0"/>
                <w:color w:val="000000"/>
                <w:spacing w:val="0"/>
                <w:kern w:val="2"/>
                <w:sz w:val="24"/>
                <w:szCs w:val="24"/>
                <w:lang w:val="en-US" w:eastAsia="zh-CN" w:bidi="ar-SA"/>
              </w:rPr>
            </w:pPr>
          </w:p>
          <w:p>
            <w:pPr>
              <w:ind w:firstLine="480" w:firstLineChars="200"/>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抽3： 进货检验记录表2022.3.04  生产单位：无锡市长庆化工防腐设备有限公司 </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物资名称：喷射器、喷射喷嘴等</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验证项目：查核相关企业资质证书、数量、合格证、出厂检验报告单、生产企业资质、检测报告、包装与外观情况等。</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结论：合格   检验员：黄振益</w:t>
            </w:r>
          </w:p>
          <w:p>
            <w:pPr>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drawing>
                <wp:anchor distT="0" distB="0" distL="114300" distR="114300" simplePos="0" relativeHeight="251659264" behindDoc="1" locked="0" layoutInCell="1" allowOverlap="1">
                  <wp:simplePos x="0" y="0"/>
                  <wp:positionH relativeFrom="column">
                    <wp:posOffset>6133465</wp:posOffset>
                  </wp:positionH>
                  <wp:positionV relativeFrom="paragraph">
                    <wp:posOffset>74295</wp:posOffset>
                  </wp:positionV>
                  <wp:extent cx="1299845" cy="2310765"/>
                  <wp:effectExtent l="0" t="0" r="8255" b="635"/>
                  <wp:wrapTight wrapText="bothSides">
                    <wp:wrapPolygon>
                      <wp:start x="0" y="0"/>
                      <wp:lineTo x="0" y="21487"/>
                      <wp:lineTo x="21315" y="21487"/>
                      <wp:lineTo x="21315" y="0"/>
                      <wp:lineTo x="0" y="0"/>
                    </wp:wrapPolygon>
                  </wp:wrapTight>
                  <wp:docPr id="2" name="图片 2" descr="639e163352d2e003e40280617f7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9e163352d2e003e40280617f79014"/>
                          <pic:cNvPicPr>
                            <a:picLocks noChangeAspect="1"/>
                          </pic:cNvPicPr>
                        </pic:nvPicPr>
                        <pic:blipFill>
                          <a:blip r:embed="rId6"/>
                          <a:stretch>
                            <a:fillRect/>
                          </a:stretch>
                        </pic:blipFill>
                        <pic:spPr>
                          <a:xfrm>
                            <a:off x="0" y="0"/>
                            <a:ext cx="1299845" cy="2310765"/>
                          </a:xfrm>
                          <a:prstGeom prst="rect">
                            <a:avLst/>
                          </a:prstGeom>
                        </pic:spPr>
                      </pic:pic>
                    </a:graphicData>
                  </a:graphic>
                </wp:anchor>
              </w:drawing>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提供了 2022年1月对以上供应商的评价记录《供方评价表》：评价内容有：营业执照、资质情况、服务能力、负责质量等，有总经理及各部门意见。结论均为同意列入合格供方。</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办公室确定需要实施采购的任务，编制采购计划，经批准实施采购。公司已建立、保持与合格供方信息反馈渠道，及时沟通、保持协调，有良好的互惠关系；采购信息充分、可靠，采购产品的要求明确、适宜。 </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2、服务过程控制</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——提供环保（水处理）设备的销售服务过程检查记录表，内容包括业务分析评审、政策分析评审，详见Q8.5.1；</w:t>
            </w:r>
          </w:p>
          <w:p>
            <w:pPr>
              <w:numPr>
                <w:ilvl w:val="0"/>
                <w:numId w:val="2"/>
              </w:numPr>
              <w:rPr>
                <w:rFonts w:hint="eastAsia"/>
                <w:lang w:val="en-US" w:eastAsia="zh-CN"/>
              </w:rPr>
            </w:pPr>
            <w:r>
              <w:rPr>
                <w:rFonts w:hint="eastAsia" w:ascii="楷体" w:hAnsi="楷体" w:eastAsia="楷体" w:cs="宋体"/>
                <w:bCs w:val="0"/>
                <w:color w:val="000000"/>
                <w:spacing w:val="0"/>
                <w:kern w:val="2"/>
                <w:sz w:val="24"/>
                <w:szCs w:val="24"/>
                <w:lang w:val="en-US" w:eastAsia="zh-CN" w:bidi="ar-SA"/>
              </w:rPr>
              <w:t>查产品服务交付</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——服务完成后有客户确认，有产品使用报告及汇款记录。</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 查见《人员考核记录》，内容包括：考核项目、要求、考核办法、考核情况、判定、检查人、检查日期等。</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不合格控制</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Q8.7</w:t>
            </w:r>
          </w:p>
        </w:tc>
        <w:tc>
          <w:tcPr>
            <w:tcW w:w="398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编制了不符合控制程序，内容符合标准要求。对不合格品处置的方式包括：退货和报废。查见《不合格品台帐》，内容包括：日期、不合格品名称、责任人、不合格原因、处置情况、检验员、备注。要求对不合格产品在台帐上进行登记和处理。</w:t>
            </w:r>
          </w:p>
          <w:p>
            <w:pPr>
              <w:pStyle w:val="12"/>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自体系运行以来未发生过不合格情况，如以后有不合格情况，则按照不合格品控制程序。</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绩效测量和监视</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Q9.1.1</w:t>
            </w:r>
          </w:p>
          <w:p>
            <w:pPr>
              <w:rPr>
                <w:rFonts w:hint="eastAsia" w:ascii="楷体" w:hAnsi="楷体" w:eastAsia="楷体" w:cs="宋体"/>
                <w:bCs w:val="0"/>
                <w:color w:val="000000"/>
                <w:spacing w:val="0"/>
                <w:kern w:val="2"/>
                <w:sz w:val="24"/>
                <w:szCs w:val="24"/>
                <w:lang w:val="en-US" w:eastAsia="zh-CN" w:bidi="ar-SA"/>
              </w:rPr>
            </w:pPr>
          </w:p>
        </w:tc>
        <w:tc>
          <w:tcPr>
            <w:tcW w:w="3985" w:type="pct"/>
            <w:noWrap w:val="0"/>
            <w:vAlign w:val="center"/>
          </w:tcPr>
          <w:p>
            <w:pPr>
              <w:ind w:firstLine="480" w:firstLineChars="20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公司编制了《顾客满意测量控制程序》，对厨具 、制冷空调设备、厨房专用设备的销售的质量特性进行监视和测量，以验证其符合要求的程度，确保服务符合要求。</w:t>
            </w:r>
          </w:p>
          <w:p>
            <w:pPr>
              <w:ind w:firstLine="480" w:firstLineChars="200"/>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公司制定《内部审核控制程序》 、《管理评审控制程序》为保证公司质量管理体系的有效运行，通过对管理绩效的监视与测量，确保体系运行的有效性。</w:t>
            </w:r>
          </w:p>
          <w:p>
            <w:pPr>
              <w:pStyle w:val="12"/>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目标均完成。</w:t>
            </w:r>
          </w:p>
          <w:p>
            <w:pPr>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服务过程控制</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——提供仪器仪表及配件销售服务过程检查记录表：查：《服务工作质量检查表》，针对胡佳、黄振益等销售服务人员的仪表仪容、服务技能、服务态度、工作纪律进行考核，考核结果：合格，考核人：吕方平</w:t>
            </w:r>
          </w:p>
          <w:p>
            <w:pPr>
              <w:rPr>
                <w:rFonts w:hint="default"/>
                <w:lang w:val="en-US" w:eastAsia="zh-CN"/>
              </w:rPr>
            </w:pPr>
            <w:r>
              <w:rPr>
                <w:rFonts w:hint="eastAsia" w:ascii="楷体" w:hAnsi="楷体" w:eastAsia="楷体" w:cs="宋体"/>
                <w:bCs w:val="0"/>
                <w:color w:val="000000"/>
                <w:spacing w:val="0"/>
                <w:kern w:val="2"/>
                <w:sz w:val="24"/>
                <w:szCs w:val="24"/>
                <w:lang w:val="en-US" w:eastAsia="zh-CN" w:bidi="ar-SA"/>
              </w:rPr>
              <w:t>查《管理人员/服务人员 2021年度考核评估表》，针黄振益、胡佳对服务绩效、个人表现进行评估，评估结果：合格，评估人：吕方平</w:t>
            </w:r>
          </w:p>
          <w:p>
            <w:pPr>
              <w:pStyle w:val="12"/>
              <w:rPr>
                <w:rFonts w:hint="default"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查《销售服务检查记录》，2021年10月31日、2021年11月30日、2021年12月31日的检查记录，均复合要求</w:t>
            </w:r>
          </w:p>
          <w:p>
            <w:pPr>
              <w:pStyle w:val="12"/>
              <w:jc w:val="left"/>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 xml:space="preserve">——服务完成后有客户确认，提供有客户确认记录及汇款记录。  </w:t>
            </w:r>
          </w:p>
          <w:p>
            <w:pPr>
              <w:ind w:firstLine="480" w:firstLineChars="200"/>
              <w:jc w:val="left"/>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en-US" w:eastAsia="zh-CN" w:bidi="ar-SA"/>
              </w:rPr>
              <w:t>目前未发现公司出现违规现象。无被动性绩效的监视和测量。</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顾客满意度</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Q9.1.2</w:t>
            </w:r>
          </w:p>
        </w:tc>
        <w:tc>
          <w:tcPr>
            <w:tcW w:w="3985" w:type="pct"/>
            <w:noWrap w:val="0"/>
            <w:vAlign w:val="center"/>
          </w:tcPr>
          <w:p>
            <w:pPr>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公司通过电话，走访等形式，接受顾客反馈，了解顾客顾客满意度信息，发放调查表对顾客满意度进行定量测量。</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zh-CN" w:eastAsia="zh-CN" w:bidi="ar-SA"/>
              </w:rPr>
              <w:t>提供“顾客满意程度调查表”，调查主要内容：</w:t>
            </w:r>
            <w:r>
              <w:rPr>
                <w:rFonts w:hint="eastAsia" w:ascii="楷体" w:hAnsi="楷体" w:eastAsia="楷体" w:cs="宋体"/>
                <w:bCs w:val="0"/>
                <w:color w:val="000000"/>
                <w:spacing w:val="0"/>
                <w:kern w:val="2"/>
                <w:sz w:val="24"/>
                <w:szCs w:val="24"/>
                <w:lang w:val="en-US" w:eastAsia="zh-CN" w:bidi="ar-SA"/>
              </w:rPr>
              <w:t>质量、价格、外观、服务等方面的满意程度</w:t>
            </w:r>
            <w:r>
              <w:rPr>
                <w:rFonts w:hint="eastAsia" w:ascii="楷体" w:hAnsi="楷体" w:eastAsia="楷体" w:cs="宋体"/>
                <w:bCs w:val="0"/>
                <w:color w:val="000000"/>
                <w:spacing w:val="0"/>
                <w:kern w:val="2"/>
                <w:sz w:val="24"/>
                <w:szCs w:val="24"/>
                <w:lang w:val="zh-CN" w:eastAsia="zh-CN" w:bidi="ar-SA"/>
              </w:rPr>
              <w:t>等，</w:t>
            </w:r>
            <w:r>
              <w:rPr>
                <w:rFonts w:hint="eastAsia" w:ascii="楷体" w:hAnsi="楷体" w:eastAsia="楷体" w:cs="宋体"/>
                <w:bCs w:val="0"/>
                <w:color w:val="000000"/>
                <w:spacing w:val="0"/>
                <w:kern w:val="2"/>
                <w:sz w:val="24"/>
                <w:szCs w:val="24"/>
                <w:lang w:val="en-US" w:eastAsia="zh-CN" w:bidi="ar-SA"/>
              </w:rPr>
              <w:t>各项得分求平均值得最终结果</w:t>
            </w:r>
            <w:r>
              <w:rPr>
                <w:rFonts w:hint="eastAsia" w:ascii="楷体" w:hAnsi="楷体" w:eastAsia="楷体" w:cs="宋体"/>
                <w:bCs w:val="0"/>
                <w:color w:val="000000"/>
                <w:spacing w:val="0"/>
                <w:kern w:val="2"/>
                <w:sz w:val="24"/>
                <w:szCs w:val="24"/>
                <w:lang w:val="zh-CN" w:eastAsia="zh-CN" w:bidi="ar-SA"/>
              </w:rPr>
              <w:t>。</w:t>
            </w:r>
            <w:r>
              <w:rPr>
                <w:rFonts w:hint="eastAsia" w:ascii="楷体" w:hAnsi="楷体" w:eastAsia="楷体" w:cs="宋体"/>
                <w:bCs w:val="0"/>
                <w:color w:val="000000"/>
                <w:spacing w:val="0"/>
                <w:kern w:val="2"/>
                <w:sz w:val="24"/>
                <w:szCs w:val="24"/>
                <w:lang w:val="en-US" w:eastAsia="zh-CN" w:bidi="ar-SA"/>
              </w:rPr>
              <w:t>提供顾客满意调查分析。最终顾客满意率95%。该结果已提交管理评审。</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分析与评价</w:t>
            </w: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Q9.1.3</w:t>
            </w:r>
          </w:p>
        </w:tc>
        <w:tc>
          <w:tcPr>
            <w:tcW w:w="3985"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a）销售部每年管理评审前对顾客满意度和提供服务情况进行收集汇总、分析，并形成报告；</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b）销售部每年管理评审前对原材料采购和供方信息进行收集汇总、分析，并形成报告；</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c）销售部每年管理评审前对组织服务能力、服务设备使用情况进行收集汇总、分析，并形成报告；</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d）管理者代表每年管理评审前对质量/环境/职业健康安全管理体系运行情况进行总结，并形成报告；</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e）综合部每年管理评审前对人员培训率情况进行统计、分析，并形成报告；</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f）销售部每年管理评审前对产品的符合性信息进行收集汇总、分析，并形成报告；</w:t>
            </w:r>
          </w:p>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2）数据评价</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综合部在管理评审前收集各部门的分析报告，作为管理评审输入材料上报管理评审会讨论，以便于：</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a）确定质量/环境/职业健康安全管理体系的适宜性、充分性、有效性；</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b）确保产品和服务持续满足顾客要求；</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c）确保过程有效运行和控制；</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en-US" w:eastAsia="zh-CN" w:bidi="ar-SA"/>
              </w:rPr>
              <w:t>d）识别质量/环境/职业健康安全管理体系的改进机会。</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8"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运行控制</w:t>
            </w:r>
          </w:p>
        </w:tc>
        <w:tc>
          <w:tcPr>
            <w:tcW w:w="356"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8.1</w:t>
            </w:r>
          </w:p>
        </w:tc>
        <w:tc>
          <w:tcPr>
            <w:tcW w:w="3985" w:type="pct"/>
            <w:noWrap w:val="0"/>
            <w:vAlign w:val="center"/>
          </w:tcPr>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本部门执行的运行控制文件包括：运行控制程序，固体废弃物管理规定、对相关方施加影响管理规定、节能降耗管理规定、消防安全管理制度、综合部安全管理制度、</w:t>
            </w:r>
            <w:r>
              <w:rPr>
                <w:rFonts w:hint="eastAsia" w:ascii="楷体" w:hAnsi="楷体" w:eastAsia="楷体" w:cs="宋体"/>
                <w:bCs w:val="0"/>
                <w:color w:val="000000"/>
                <w:spacing w:val="0"/>
                <w:kern w:val="2"/>
                <w:sz w:val="24"/>
                <w:szCs w:val="24"/>
                <w:lang w:val="en-GB" w:eastAsia="zh-CN" w:bidi="ar-SA"/>
              </w:rPr>
              <w:t>车辆管理规定、电脑使用管理办法</w:t>
            </w:r>
            <w:r>
              <w:rPr>
                <w:rFonts w:hint="eastAsia" w:ascii="楷体" w:hAnsi="楷体" w:eastAsia="楷体" w:cs="宋体"/>
                <w:bCs w:val="0"/>
                <w:color w:val="000000"/>
                <w:spacing w:val="0"/>
                <w:kern w:val="2"/>
                <w:sz w:val="24"/>
                <w:szCs w:val="24"/>
                <w:lang w:val="zh-CN" w:eastAsia="zh-CN" w:bidi="ar-SA"/>
              </w:rPr>
              <w:t>等</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运行控制情况：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1、办公区域：生活污水排放至城市管网。噪声：办公远程视频不产生明显噪声。</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固废：固体废物主要是生活垃圾、办公产生废纸张废包装物等，配置了垃圾桶、可回收箱分类处置；办公用纸由综合部负责，复印、打印耗材都有综合部统一负责，集中处置。</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2、办公过程注意节约用电，做到人走灯灭，电脑长时间不用时关机，下班前要关闭电源，防止触电。</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3、办公区域禁止吸烟，查看办公区域环境整洁、宽敞、办公设备状态良好、无安全隐患。</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4、工作时间平均每天不超过8小时。</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5、查看办公区域，整洁、光线充足、室内空气良好，办公条件较好，办公设备安全状态良好，教育员工正确使用办公设备，规范用电，无乱拉线现象，防止火灾发生。</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7、相关方施加影响：公司能够控制或能够施加影响的相关方有顾客等。提供了“致相关方的公开信”，将公司的环境/安全控制要求发放</w:t>
            </w:r>
            <w:r>
              <w:rPr>
                <w:rFonts w:hint="eastAsia" w:ascii="楷体" w:hAnsi="楷体" w:eastAsia="楷体" w:cs="宋体"/>
                <w:bCs w:val="0"/>
                <w:color w:val="000000"/>
                <w:spacing w:val="0"/>
                <w:kern w:val="2"/>
                <w:sz w:val="24"/>
                <w:szCs w:val="24"/>
                <w:lang w:val="en-US" w:eastAsia="zh-CN" w:bidi="ar-SA"/>
              </w:rPr>
              <w:t>给</w:t>
            </w:r>
            <w:r>
              <w:rPr>
                <w:rFonts w:hint="eastAsia" w:ascii="楷体" w:hAnsi="楷体" w:eastAsia="楷体" w:cs="宋体"/>
                <w:bCs w:val="0"/>
                <w:color w:val="000000"/>
                <w:spacing w:val="0"/>
                <w:kern w:val="2"/>
                <w:sz w:val="24"/>
                <w:szCs w:val="24"/>
                <w:lang w:val="zh-CN" w:eastAsia="zh-CN" w:bidi="ar-SA"/>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ind w:firstLine="480" w:firstLineChars="200"/>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zh-CN" w:eastAsia="zh-CN" w:bidi="ar-SA"/>
              </w:rPr>
              <w:t>8、要求遵守道路交通法规，不违章驾车，驾驶证和车辆定期年审，确保行车安全。</w:t>
            </w:r>
          </w:p>
          <w:p>
            <w:pPr>
              <w:ind w:firstLine="480" w:firstLineChars="200"/>
              <w:rPr>
                <w:rFonts w:hint="eastAsia" w:ascii="楷体" w:hAnsi="楷体" w:eastAsia="楷体" w:cs="宋体"/>
                <w:bCs w:val="0"/>
                <w:color w:val="000000"/>
                <w:spacing w:val="0"/>
                <w:kern w:val="2"/>
                <w:sz w:val="24"/>
                <w:szCs w:val="24"/>
                <w:lang w:val="en-US" w:eastAsia="zh-CN" w:bidi="ar-SA"/>
              </w:rPr>
            </w:pP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8"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应急准备和响应</w:t>
            </w:r>
          </w:p>
        </w:tc>
        <w:tc>
          <w:tcPr>
            <w:tcW w:w="356"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EO</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8.2</w:t>
            </w:r>
          </w:p>
        </w:tc>
        <w:tc>
          <w:tcPr>
            <w:tcW w:w="3985"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执行《</w:t>
            </w:r>
            <w:r>
              <w:rPr>
                <w:rFonts w:hint="eastAsia" w:ascii="楷体" w:hAnsi="楷体" w:eastAsia="楷体" w:cs="宋体"/>
                <w:bCs w:val="0"/>
                <w:color w:val="000000"/>
                <w:spacing w:val="0"/>
                <w:kern w:val="2"/>
                <w:sz w:val="24"/>
                <w:szCs w:val="24"/>
                <w:lang w:val="zh-CN" w:eastAsia="zh-CN" w:bidi="ar-SA"/>
              </w:rPr>
              <w:t>应急准备和响应</w:t>
            </w:r>
            <w:r>
              <w:rPr>
                <w:rFonts w:hint="eastAsia" w:ascii="楷体" w:hAnsi="楷体" w:eastAsia="楷体" w:cs="宋体"/>
                <w:bCs w:val="0"/>
                <w:color w:val="000000"/>
                <w:spacing w:val="0"/>
                <w:kern w:val="2"/>
                <w:sz w:val="24"/>
                <w:szCs w:val="24"/>
                <w:lang w:val="en-US" w:eastAsia="zh-CN" w:bidi="ar-SA"/>
              </w:rPr>
              <w:t>控制</w:t>
            </w:r>
            <w:r>
              <w:rPr>
                <w:rFonts w:hint="eastAsia" w:ascii="楷体" w:hAnsi="楷体" w:eastAsia="楷体" w:cs="宋体"/>
                <w:bCs w:val="0"/>
                <w:color w:val="000000"/>
                <w:spacing w:val="0"/>
                <w:kern w:val="2"/>
                <w:sz w:val="24"/>
                <w:szCs w:val="24"/>
                <w:lang w:val="zh-CN" w:eastAsia="zh-CN" w:bidi="ar-SA"/>
              </w:rPr>
              <w:t>程序</w:t>
            </w:r>
            <w:r>
              <w:rPr>
                <w:rFonts w:hint="eastAsia" w:ascii="楷体" w:hAnsi="楷体" w:eastAsia="楷体" w:cs="宋体"/>
                <w:bCs w:val="0"/>
                <w:color w:val="000000"/>
                <w:spacing w:val="0"/>
                <w:kern w:val="2"/>
                <w:sz w:val="24"/>
                <w:szCs w:val="24"/>
                <w:lang w:val="en-US" w:eastAsia="zh-CN" w:bidi="ar-SA"/>
              </w:rPr>
              <w:t>》，参加了公司组织消防演练，相关记录详见综合部相关条款。</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98"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不符合和纠正措施</w:t>
            </w:r>
          </w:p>
          <w:p>
            <w:pPr>
              <w:spacing w:line="280" w:lineRule="exact"/>
              <w:rPr>
                <w:rFonts w:hint="eastAsia" w:ascii="楷体" w:hAnsi="楷体" w:eastAsia="楷体" w:cs="宋体"/>
                <w:bCs w:val="0"/>
                <w:color w:val="000000"/>
                <w:spacing w:val="0"/>
                <w:kern w:val="2"/>
                <w:sz w:val="24"/>
                <w:szCs w:val="24"/>
                <w:lang w:val="en-US" w:eastAsia="zh-CN" w:bidi="ar-SA"/>
              </w:rPr>
            </w:pPr>
          </w:p>
        </w:tc>
        <w:tc>
          <w:tcPr>
            <w:tcW w:w="356" w:type="pct"/>
            <w:noWrap w:val="0"/>
            <w:vAlign w:val="center"/>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QEO10.2</w:t>
            </w:r>
          </w:p>
          <w:p>
            <w:pPr>
              <w:spacing w:line="280" w:lineRule="exact"/>
              <w:rPr>
                <w:rFonts w:hint="eastAsia" w:ascii="楷体" w:hAnsi="楷体" w:eastAsia="楷体" w:cs="宋体"/>
                <w:bCs w:val="0"/>
                <w:color w:val="000000"/>
                <w:spacing w:val="0"/>
                <w:kern w:val="2"/>
                <w:sz w:val="24"/>
                <w:szCs w:val="24"/>
                <w:lang w:val="en-US" w:eastAsia="zh-CN" w:bidi="ar-SA"/>
              </w:rPr>
            </w:pPr>
          </w:p>
        </w:tc>
        <w:tc>
          <w:tcPr>
            <w:tcW w:w="3985" w:type="pct"/>
            <w:noWrap w:val="0"/>
            <w:vAlign w:val="center"/>
          </w:tcPr>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企业通过过程的监视和测量、绩效考核、内审、管理评审等方式和机制，确保质量管理制度有效执行。</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企业经过策划，采用对产品的监视和测量，对不合格品控制等来证实产品的符合性。</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企业制定不符合控制程序、纠正措施控制程序等，通过分析实际存在的或潜在的不符合的原因，制定纠正和预防措施，并验证其效果，以防止不符合的发生／再发生，实现持续改进绩效的目的。</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对内审中的不符合，采取了纠正措施，并验证；</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为保证公司职业健康安全管理体系的有效运行，通过对安全事件的调查处理，以确保管理体系运行的有效性。</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经查在公司正常经营活动中，出现了轻微不符合，部门已经采取纠正和纠正措施，经验证纠正措施有效。</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未发生过环境、安全等事故。</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查持续改进：</w:t>
            </w:r>
          </w:p>
          <w:p>
            <w:pPr>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公司利用质量/环境/职业健康安全方针、质量/环境/职业健康安全目标、审核结果、资料分析、纠正和持续改进以及管理评审等活动，以确定是否存在持续改进的需求和机会，以持续改进质量/环境/职业健康安全管理体系的适宜性、充分性和有效性。</w:t>
            </w:r>
          </w:p>
          <w:p>
            <w:pPr>
              <w:spacing w:line="280" w:lineRule="exact"/>
              <w:rPr>
                <w:rFonts w:hint="eastAsia" w:ascii="楷体" w:hAnsi="楷体" w:eastAsia="楷体" w:cs="宋体"/>
                <w:bCs w:val="0"/>
                <w:color w:val="000000"/>
                <w:spacing w:val="0"/>
                <w:kern w:val="2"/>
                <w:sz w:val="24"/>
                <w:szCs w:val="24"/>
                <w:lang w:val="zh-CN" w:eastAsia="zh-CN" w:bidi="ar-SA"/>
              </w:rPr>
            </w:pPr>
            <w:r>
              <w:rPr>
                <w:rFonts w:hint="eastAsia" w:ascii="楷体" w:hAnsi="楷体" w:eastAsia="楷体" w:cs="宋体"/>
                <w:bCs w:val="0"/>
                <w:color w:val="000000"/>
                <w:spacing w:val="0"/>
                <w:kern w:val="2"/>
                <w:sz w:val="24"/>
                <w:szCs w:val="24"/>
                <w:lang w:val="en-US" w:eastAsia="zh-CN" w:bidi="ar-SA"/>
              </w:rPr>
              <w:t>管理评审提出改进措施正在实施过程中。</w:t>
            </w:r>
          </w:p>
        </w:tc>
        <w:tc>
          <w:tcPr>
            <w:tcW w:w="160" w:type="pct"/>
            <w:noWrap w:val="0"/>
            <w:vAlign w:val="top"/>
          </w:tcPr>
          <w:p>
            <w:pPr>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符合</w:t>
            </w:r>
          </w:p>
        </w:tc>
      </w:tr>
    </w:tbl>
    <w:p>
      <w:pPr>
        <w:pStyle w:val="7"/>
        <w:rPr>
          <w:rFonts w:hint="eastAsia" w:ascii="楷体" w:hAnsi="楷体" w:eastAsia="楷体" w:cs="宋体"/>
          <w:bCs w:val="0"/>
          <w:color w:val="000000"/>
          <w:spacing w:val="0"/>
          <w:kern w:val="2"/>
          <w:sz w:val="24"/>
          <w:szCs w:val="24"/>
          <w:lang w:val="en-US" w:eastAsia="zh-CN" w:bidi="ar-S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8"/>
      <w:pBdr>
        <w:bottom w:val="none" w:color="auto" w:sz="0" w:space="0"/>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6"/>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02D1B"/>
    <w:multiLevelType w:val="multilevel"/>
    <w:tmpl w:val="59F02D1B"/>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74FC590A"/>
    <w:multiLevelType w:val="singleLevel"/>
    <w:tmpl w:val="74FC590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D27C02"/>
    <w:rsid w:val="0137578E"/>
    <w:rsid w:val="023941CF"/>
    <w:rsid w:val="02743A23"/>
    <w:rsid w:val="02C91F30"/>
    <w:rsid w:val="0374320A"/>
    <w:rsid w:val="03A644B2"/>
    <w:rsid w:val="043E40D2"/>
    <w:rsid w:val="04B070D8"/>
    <w:rsid w:val="04E3379D"/>
    <w:rsid w:val="07B3748A"/>
    <w:rsid w:val="0A246BA4"/>
    <w:rsid w:val="0A2A630B"/>
    <w:rsid w:val="0A9D0CAF"/>
    <w:rsid w:val="11010C82"/>
    <w:rsid w:val="11172982"/>
    <w:rsid w:val="11E2324D"/>
    <w:rsid w:val="137F4113"/>
    <w:rsid w:val="14241075"/>
    <w:rsid w:val="14EC74AA"/>
    <w:rsid w:val="1B9A63DC"/>
    <w:rsid w:val="1F8228E2"/>
    <w:rsid w:val="1FC01D5D"/>
    <w:rsid w:val="20A339FB"/>
    <w:rsid w:val="20CD434D"/>
    <w:rsid w:val="21520FC2"/>
    <w:rsid w:val="21C60E9C"/>
    <w:rsid w:val="21E43DD9"/>
    <w:rsid w:val="22392900"/>
    <w:rsid w:val="22B920CC"/>
    <w:rsid w:val="237107AD"/>
    <w:rsid w:val="24557535"/>
    <w:rsid w:val="248832CB"/>
    <w:rsid w:val="2543007A"/>
    <w:rsid w:val="274F297F"/>
    <w:rsid w:val="2A9D4D6D"/>
    <w:rsid w:val="2C2800BA"/>
    <w:rsid w:val="2D6F0D20"/>
    <w:rsid w:val="2E8D4551"/>
    <w:rsid w:val="31054460"/>
    <w:rsid w:val="31861F50"/>
    <w:rsid w:val="32913106"/>
    <w:rsid w:val="331A22F8"/>
    <w:rsid w:val="33531805"/>
    <w:rsid w:val="358C5213"/>
    <w:rsid w:val="37521A1F"/>
    <w:rsid w:val="381E48EB"/>
    <w:rsid w:val="38B823C6"/>
    <w:rsid w:val="39771278"/>
    <w:rsid w:val="3A443BE6"/>
    <w:rsid w:val="3CAC12F4"/>
    <w:rsid w:val="3D4A734A"/>
    <w:rsid w:val="420F3B99"/>
    <w:rsid w:val="42DA6561"/>
    <w:rsid w:val="430A4C33"/>
    <w:rsid w:val="43B9620F"/>
    <w:rsid w:val="43E470B0"/>
    <w:rsid w:val="44330E23"/>
    <w:rsid w:val="44DA663A"/>
    <w:rsid w:val="4553420B"/>
    <w:rsid w:val="455543ED"/>
    <w:rsid w:val="464E35B6"/>
    <w:rsid w:val="480266EB"/>
    <w:rsid w:val="4A157E50"/>
    <w:rsid w:val="4A1901EC"/>
    <w:rsid w:val="4ADF580E"/>
    <w:rsid w:val="4B0E3C2A"/>
    <w:rsid w:val="4D4D765F"/>
    <w:rsid w:val="4DD73AD8"/>
    <w:rsid w:val="4E585EFA"/>
    <w:rsid w:val="501A081E"/>
    <w:rsid w:val="50D035A4"/>
    <w:rsid w:val="512508ED"/>
    <w:rsid w:val="521E7520"/>
    <w:rsid w:val="555B67E4"/>
    <w:rsid w:val="560B383E"/>
    <w:rsid w:val="568878FC"/>
    <w:rsid w:val="5718418F"/>
    <w:rsid w:val="573C7EB2"/>
    <w:rsid w:val="59F41F84"/>
    <w:rsid w:val="5AC25B7F"/>
    <w:rsid w:val="5AD13E5C"/>
    <w:rsid w:val="5EBA3AB0"/>
    <w:rsid w:val="5F6B5DAC"/>
    <w:rsid w:val="61DA5BB0"/>
    <w:rsid w:val="634C0B64"/>
    <w:rsid w:val="636A2C21"/>
    <w:rsid w:val="64061384"/>
    <w:rsid w:val="645F79BB"/>
    <w:rsid w:val="64784DF1"/>
    <w:rsid w:val="6812170B"/>
    <w:rsid w:val="68E65C61"/>
    <w:rsid w:val="69AF5E21"/>
    <w:rsid w:val="6A3E1F05"/>
    <w:rsid w:val="6ACB16DA"/>
    <w:rsid w:val="6B604A0B"/>
    <w:rsid w:val="6BD14CEB"/>
    <w:rsid w:val="6D2F50EA"/>
    <w:rsid w:val="6D67354D"/>
    <w:rsid w:val="6DF935BD"/>
    <w:rsid w:val="6E680FDE"/>
    <w:rsid w:val="6E91596D"/>
    <w:rsid w:val="6EA474CA"/>
    <w:rsid w:val="6F277D95"/>
    <w:rsid w:val="706D5F19"/>
    <w:rsid w:val="716B3AAD"/>
    <w:rsid w:val="71F25BBB"/>
    <w:rsid w:val="72042FC7"/>
    <w:rsid w:val="7219025C"/>
    <w:rsid w:val="72CA5A37"/>
    <w:rsid w:val="72DD7520"/>
    <w:rsid w:val="73397B42"/>
    <w:rsid w:val="73E23A22"/>
    <w:rsid w:val="740C7F92"/>
    <w:rsid w:val="74B654A3"/>
    <w:rsid w:val="74C72D16"/>
    <w:rsid w:val="75452668"/>
    <w:rsid w:val="754E6F5E"/>
    <w:rsid w:val="79A033E7"/>
    <w:rsid w:val="7AAA00DC"/>
    <w:rsid w:val="7B8C29DF"/>
    <w:rsid w:val="7DFA3A1A"/>
    <w:rsid w:val="7E5D0AB1"/>
    <w:rsid w:val="7EB26EC7"/>
    <w:rsid w:val="7FB448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numPr>
        <w:ilvl w:val="0"/>
        <w:numId w:val="1"/>
      </w:numPr>
      <w:adjustRightInd w:val="0"/>
      <w:snapToGrid w:val="0"/>
      <w:spacing w:before="50" w:beforeLines="50" w:after="50" w:afterLines="50" w:line="240" w:lineRule="auto"/>
      <w:ind w:left="0" w:firstLine="0"/>
      <w:jc w:val="left"/>
      <w:outlineLvl w:val="1"/>
    </w:pPr>
    <w:rPr>
      <w:rFonts w:ascii="宋体" w:hAnsi="宋体" w:eastAsia="宋体" w:cs="Times New Roman"/>
      <w:b/>
      <w:bCs/>
      <w:sz w:val="28"/>
      <w:szCs w:val="32"/>
      <w:lang w:val="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5">
    <w:name w:val="Body Text Indent"/>
    <w:basedOn w:val="1"/>
    <w:qFormat/>
    <w:uiPriority w:val="0"/>
    <w:pPr>
      <w:ind w:left="360"/>
    </w:pPr>
    <w:rPr>
      <w:sz w:val="20"/>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表格文字"/>
    <w:basedOn w:val="1"/>
    <w:qFormat/>
    <w:uiPriority w:val="0"/>
    <w:pPr>
      <w:spacing w:before="25" w:after="25"/>
    </w:pPr>
    <w:rPr>
      <w:bCs/>
      <w:spacing w:val="10"/>
    </w:rPr>
  </w:style>
  <w:style w:type="character" w:customStyle="1" w:styleId="13">
    <w:name w:val="页眉 Char"/>
    <w:basedOn w:val="11"/>
    <w:link w:val="8"/>
    <w:qFormat/>
    <w:uiPriority w:val="99"/>
    <w:rPr>
      <w:rFonts w:ascii="Times New Roman" w:hAnsi="Times New Roman" w:eastAsia="宋体" w:cs="Times New Roman"/>
      <w:sz w:val="18"/>
      <w:szCs w:val="18"/>
    </w:rPr>
  </w:style>
  <w:style w:type="character" w:customStyle="1" w:styleId="14">
    <w:name w:val="页脚 Char"/>
    <w:basedOn w:val="11"/>
    <w:link w:val="7"/>
    <w:qFormat/>
    <w:uiPriority w:val="99"/>
    <w:rPr>
      <w:rFonts w:ascii="Times New Roman" w:hAnsi="Times New Roman" w:eastAsia="宋体" w:cs="Times New Roman"/>
      <w:sz w:val="18"/>
      <w:szCs w:val="18"/>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character" w:customStyle="1" w:styleId="17">
    <w:name w:val="NormalCharacter"/>
    <w:semiHidden/>
    <w:qFormat/>
    <w:uiPriority w:val="0"/>
    <w:rPr>
      <w:kern w:val="2"/>
      <w:sz w:val="21"/>
      <w:szCs w:val="24"/>
      <w:lang w:val="en-US" w:eastAsia="zh-CN" w:bidi="ar-SA"/>
    </w:rPr>
  </w:style>
  <w:style w:type="character" w:customStyle="1" w:styleId="18">
    <w:name w:val="layui-this"/>
    <w:basedOn w:val="11"/>
    <w:qFormat/>
    <w:uiPriority w:val="0"/>
    <w:rPr>
      <w:bdr w:val="single" w:color="EEEEEE" w:sz="4" w:space="0"/>
      <w:shd w:val="clear" w:fill="FFFFFF"/>
    </w:rPr>
  </w:style>
  <w:style w:type="character" w:customStyle="1" w:styleId="19">
    <w:name w:val="first-child"/>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15</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2022-03-18T00:27:56Z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521749EFF82D4D6491B922F04B4BC049</vt:lpwstr>
  </property>
</Properties>
</file>